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5F94" w14:textId="77777777" w:rsidR="00283E2D" w:rsidRPr="0050030C" w:rsidRDefault="00DF2794">
      <w:pPr>
        <w:spacing w:after="165" w:line="259" w:lineRule="auto"/>
        <w:ind w:left="0" w:firstLine="0"/>
        <w:jc w:val="left"/>
        <w:rPr>
          <w:szCs w:val="24"/>
        </w:rPr>
      </w:pPr>
      <w:r w:rsidRPr="0050030C">
        <w:rPr>
          <w:szCs w:val="24"/>
        </w:rPr>
        <w:t xml:space="preserve"> </w:t>
      </w:r>
    </w:p>
    <w:p w14:paraId="100DB5D7" w14:textId="02B9DC11" w:rsidR="00283E2D" w:rsidRDefault="00DF2794">
      <w:pPr>
        <w:spacing w:after="177" w:line="259" w:lineRule="auto"/>
        <w:ind w:left="-5"/>
        <w:jc w:val="left"/>
        <w:rPr>
          <w:b/>
          <w:szCs w:val="24"/>
        </w:rPr>
      </w:pPr>
      <w:r w:rsidRPr="0050030C">
        <w:rPr>
          <w:b/>
          <w:szCs w:val="24"/>
        </w:rPr>
        <w:t xml:space="preserve">Lisa 2. </w:t>
      </w:r>
      <w:r w:rsidR="00883416" w:rsidRPr="0050030C">
        <w:rPr>
          <w:b/>
          <w:szCs w:val="24"/>
        </w:rPr>
        <w:t>Tehniline kirjeldus</w:t>
      </w:r>
      <w:r w:rsidR="00D167A7">
        <w:rPr>
          <w:b/>
          <w:szCs w:val="24"/>
        </w:rPr>
        <w:t xml:space="preserve"> (pakkumuse vorm)</w:t>
      </w:r>
    </w:p>
    <w:p w14:paraId="1B7F8621" w14:textId="77777777" w:rsidR="00101FF9" w:rsidRPr="00CB30E1" w:rsidRDefault="00101FF9" w:rsidP="00101FF9">
      <w:pPr>
        <w:pStyle w:val="ListParagraph"/>
        <w:numPr>
          <w:ilvl w:val="0"/>
          <w:numId w:val="6"/>
        </w:numPr>
        <w:spacing w:after="160" w:line="259" w:lineRule="auto"/>
        <w:ind w:left="284" w:hanging="284"/>
        <w:contextualSpacing/>
        <w:jc w:val="both"/>
        <w:rPr>
          <w:rFonts w:ascii="Times New Roman" w:hAnsi="Times New Roman" w:cs="Times New Roman"/>
          <w:b/>
        </w:rPr>
      </w:pPr>
      <w:r w:rsidRPr="00CB30E1">
        <w:rPr>
          <w:rFonts w:ascii="Times New Roman" w:hAnsi="Times New Roman" w:cs="Times New Roman"/>
          <w:b/>
        </w:rPr>
        <w:t>Üldosa</w:t>
      </w:r>
    </w:p>
    <w:p w14:paraId="711BA317" w14:textId="750026F6" w:rsid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101FF9">
        <w:rPr>
          <w:rFonts w:ascii="Times New Roman" w:hAnsi="Times New Roman" w:cs="Times New Roman"/>
        </w:rPr>
        <w:t xml:space="preserve">Hankelepingu esemeks on </w:t>
      </w:r>
      <w:r w:rsidR="001935B9">
        <w:rPr>
          <w:rFonts w:ascii="Times New Roman" w:hAnsi="Times New Roman" w:cs="Times New Roman"/>
        </w:rPr>
        <w:t>serv</w:t>
      </w:r>
      <w:r w:rsidR="00EB3480">
        <w:rPr>
          <w:rFonts w:ascii="Times New Roman" w:hAnsi="Times New Roman" w:cs="Times New Roman"/>
        </w:rPr>
        <w:t>er</w:t>
      </w:r>
      <w:r w:rsidR="00FF0012" w:rsidRPr="00FF0012">
        <w:rPr>
          <w:rFonts w:ascii="Times New Roman" w:hAnsi="Times New Roman" w:cs="Times New Roman"/>
        </w:rPr>
        <w:t xml:space="preserve"> </w:t>
      </w:r>
      <w:r w:rsidR="00FF0012">
        <w:rPr>
          <w:rFonts w:ascii="Times New Roman" w:hAnsi="Times New Roman" w:cs="Times New Roman"/>
        </w:rPr>
        <w:t>LLM mudelite</w:t>
      </w:r>
      <w:r w:rsidR="00B017F1">
        <w:rPr>
          <w:rFonts w:ascii="Times New Roman" w:hAnsi="Times New Roman" w:cs="Times New Roman"/>
        </w:rPr>
        <w:t xml:space="preserve"> (</w:t>
      </w:r>
      <w:proofErr w:type="spellStart"/>
      <w:r w:rsidR="00B017F1" w:rsidRPr="00B017F1">
        <w:rPr>
          <w:rFonts w:ascii="Times New Roman" w:hAnsi="Times New Roman" w:cs="Times New Roman"/>
        </w:rPr>
        <w:t>Large</w:t>
      </w:r>
      <w:proofErr w:type="spellEnd"/>
      <w:r w:rsidR="00B017F1" w:rsidRPr="00B017F1">
        <w:rPr>
          <w:rFonts w:ascii="Times New Roman" w:hAnsi="Times New Roman" w:cs="Times New Roman"/>
        </w:rPr>
        <w:t xml:space="preserve"> </w:t>
      </w:r>
      <w:proofErr w:type="spellStart"/>
      <w:r w:rsidR="00B017F1" w:rsidRPr="00B017F1">
        <w:rPr>
          <w:rFonts w:ascii="Times New Roman" w:hAnsi="Times New Roman" w:cs="Times New Roman"/>
        </w:rPr>
        <w:t>Language</w:t>
      </w:r>
      <w:proofErr w:type="spellEnd"/>
      <w:r w:rsidR="00B017F1" w:rsidRPr="00B017F1">
        <w:rPr>
          <w:rFonts w:ascii="Times New Roman" w:hAnsi="Times New Roman" w:cs="Times New Roman"/>
        </w:rPr>
        <w:t xml:space="preserve"> </w:t>
      </w:r>
      <w:proofErr w:type="spellStart"/>
      <w:r w:rsidR="00B017F1" w:rsidRPr="00B017F1">
        <w:rPr>
          <w:rFonts w:ascii="Times New Roman" w:hAnsi="Times New Roman" w:cs="Times New Roman"/>
        </w:rPr>
        <w:t>Model</w:t>
      </w:r>
      <w:proofErr w:type="spellEnd"/>
      <w:r w:rsidR="00B017F1">
        <w:rPr>
          <w:rFonts w:ascii="Times New Roman" w:hAnsi="Times New Roman" w:cs="Times New Roman"/>
        </w:rPr>
        <w:t>)</w:t>
      </w:r>
      <w:r w:rsidR="00FF0012">
        <w:rPr>
          <w:rFonts w:ascii="Times New Roman" w:hAnsi="Times New Roman" w:cs="Times New Roman"/>
        </w:rPr>
        <w:t xml:space="preserve"> käitamiseks</w:t>
      </w:r>
      <w:r w:rsidR="00E71C30">
        <w:rPr>
          <w:rFonts w:ascii="Times New Roman" w:hAnsi="Times New Roman" w:cs="Times New Roman"/>
        </w:rPr>
        <w:t xml:space="preserve"> ja tootetugi</w:t>
      </w:r>
      <w:r w:rsidR="001935B9">
        <w:rPr>
          <w:rFonts w:ascii="Times New Roman" w:hAnsi="Times New Roman" w:cs="Times New Roman"/>
        </w:rPr>
        <w:t>.</w:t>
      </w:r>
      <w:r w:rsidR="009C4B5A">
        <w:rPr>
          <w:rFonts w:ascii="Times New Roman" w:hAnsi="Times New Roman" w:cs="Times New Roman"/>
        </w:rPr>
        <w:t xml:space="preserve"> </w:t>
      </w:r>
      <w:r w:rsidRPr="00101FF9">
        <w:rPr>
          <w:rFonts w:ascii="Times New Roman" w:hAnsi="Times New Roman" w:cs="Times New Roman"/>
        </w:rPr>
        <w:t>Tagatud peab olema seadme ja tema erinevate komponentide koostoime</w:t>
      </w:r>
      <w:r>
        <w:rPr>
          <w:rFonts w:ascii="Times New Roman" w:hAnsi="Times New Roman" w:cs="Times New Roman"/>
        </w:rPr>
        <w:t xml:space="preserve">. </w:t>
      </w:r>
    </w:p>
    <w:p w14:paraId="2965C732" w14:textId="60BF14B6" w:rsidR="00101FF9" w:rsidRP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101FF9">
        <w:rPr>
          <w:rFonts w:ascii="Times New Roman" w:hAnsi="Times New Roman" w:cs="Times New Roman"/>
        </w:rPr>
        <w:t>Pakkuja poolt esitatud tehnilisest kirjeldusest peab olema üheselt aru saadav, et on pakutud hankes nõutud serverite arv.</w:t>
      </w:r>
    </w:p>
    <w:p w14:paraId="6680E116" w14:textId="77777777" w:rsidR="00101FF9" w:rsidRPr="00CB30E1"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CB30E1">
        <w:rPr>
          <w:rFonts w:ascii="Times New Roman" w:hAnsi="Times New Roman" w:cs="Times New Roman"/>
        </w:rPr>
        <w:t>Minikonkurss korraldatakse toodete väljaostmiseks (omandamise õigusega).</w:t>
      </w:r>
    </w:p>
    <w:p w14:paraId="65CD9950" w14:textId="77777777" w:rsidR="00101FF9" w:rsidRPr="0050030C" w:rsidRDefault="00101FF9">
      <w:pPr>
        <w:spacing w:after="177" w:line="259" w:lineRule="auto"/>
        <w:ind w:left="-5"/>
        <w:jc w:val="left"/>
        <w:rPr>
          <w:b/>
          <w:szCs w:val="24"/>
        </w:rPr>
      </w:pPr>
    </w:p>
    <w:p w14:paraId="7F2D76A1" w14:textId="77777777" w:rsidR="00101FF9" w:rsidRPr="00CB30E1" w:rsidRDefault="00101FF9" w:rsidP="00101FF9">
      <w:pPr>
        <w:pStyle w:val="ListParagraph"/>
        <w:numPr>
          <w:ilvl w:val="0"/>
          <w:numId w:val="6"/>
        </w:numPr>
        <w:spacing w:after="160" w:line="259" w:lineRule="auto"/>
        <w:ind w:left="284" w:hanging="284"/>
        <w:contextualSpacing/>
        <w:jc w:val="both"/>
        <w:rPr>
          <w:rFonts w:ascii="Times New Roman" w:hAnsi="Times New Roman" w:cs="Times New Roman"/>
          <w:b/>
        </w:rPr>
      </w:pPr>
      <w:bookmarkStart w:id="0" w:name="_Hlk74041261"/>
      <w:r w:rsidRPr="00CB30E1">
        <w:rPr>
          <w:rFonts w:ascii="Times New Roman" w:hAnsi="Times New Roman" w:cs="Times New Roman"/>
          <w:b/>
        </w:rPr>
        <w:t>Hankelepingu eseme tehnilise kirjelduse lugemine</w:t>
      </w:r>
    </w:p>
    <w:p w14:paraId="0E2D055D" w14:textId="6CAB477D" w:rsidR="00101FF9" w:rsidRPr="00CB30E1"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CB30E1">
        <w:rPr>
          <w:rFonts w:ascii="Times New Roman" w:hAnsi="Times New Roman" w:cs="Times New Roman"/>
        </w:rPr>
        <w:t>Iga viidet, mille hankija teeb käesolevas dokumendis mõnele riigihangete seaduse paragrahvi 88 lõikes 2 nimetatud alusele kui pakkumuse tehnilisele kirjeldusele vastavuse kriteeriumile, tuleb lugeda selliselt, et see on täiendatud märkega „või sellega samaväärne“.</w:t>
      </w:r>
    </w:p>
    <w:p w14:paraId="70337276" w14:textId="7C69E52F" w:rsid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CB30E1">
        <w:rPr>
          <w:rFonts w:ascii="Times New Roman" w:hAnsi="Times New Roman" w:cs="Times New Roman"/>
        </w:rPr>
        <w:t>Iga viidet, mille hankija teeb käesolevas dokumendis ostuallikale, protsessile, kaubamärgile, patendile, tüübile, päritolule, märgisele või tootmisviisile, tuleb lugeda selliselt, et see on täiendatud märkega „või sellega samaväärne“.</w:t>
      </w:r>
    </w:p>
    <w:p w14:paraId="3E4E12F2" w14:textId="77777777" w:rsidR="00101FF9" w:rsidRPr="00CB30E1" w:rsidRDefault="00101FF9" w:rsidP="00101FF9">
      <w:pPr>
        <w:pStyle w:val="ListParagraph"/>
        <w:spacing w:after="160" w:line="259" w:lineRule="auto"/>
        <w:ind w:left="567"/>
        <w:contextualSpacing/>
        <w:jc w:val="both"/>
        <w:rPr>
          <w:rFonts w:ascii="Times New Roman" w:hAnsi="Times New Roman" w:cs="Times New Roman"/>
        </w:rPr>
      </w:pPr>
    </w:p>
    <w:p w14:paraId="241D7D90" w14:textId="77777777" w:rsidR="00101FF9" w:rsidRDefault="00101FF9" w:rsidP="00101FF9">
      <w:pPr>
        <w:pStyle w:val="ListParagraph"/>
        <w:numPr>
          <w:ilvl w:val="0"/>
          <w:numId w:val="6"/>
        </w:numPr>
        <w:spacing w:after="160" w:line="259" w:lineRule="auto"/>
        <w:ind w:left="284" w:hanging="284"/>
        <w:contextualSpacing/>
        <w:jc w:val="both"/>
        <w:rPr>
          <w:rFonts w:ascii="Times New Roman" w:hAnsi="Times New Roman" w:cs="Times New Roman"/>
          <w:b/>
        </w:rPr>
      </w:pPr>
      <w:r w:rsidRPr="002D6937">
        <w:rPr>
          <w:rFonts w:ascii="Times New Roman" w:hAnsi="Times New Roman" w:cs="Times New Roman"/>
          <w:b/>
        </w:rPr>
        <w:t>Hangitavatele toodetele kehtivad üldised tingimused ja nõuded</w:t>
      </w:r>
    </w:p>
    <w:p w14:paraId="1A66D608" w14:textId="77777777" w:rsidR="00101FF9" w:rsidRP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B92108">
        <w:rPr>
          <w:rFonts w:ascii="Times New Roman" w:hAnsi="Times New Roman" w:cs="Times New Roman"/>
        </w:rPr>
        <w:t>Seadmed peavad olema uued ja originaalpakendis.</w:t>
      </w:r>
    </w:p>
    <w:p w14:paraId="762DA6C7" w14:textId="77777777" w:rsidR="00101FF9" w:rsidRP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B92108">
        <w:rPr>
          <w:rFonts w:ascii="Times New Roman" w:hAnsi="Times New Roman" w:cs="Times New Roman"/>
        </w:rPr>
        <w:t xml:space="preserve">Seadmete juurde kuuluv tarkvara (nt operatsioonisüsteem) peab olema ettenähtud kasutamiseks </w:t>
      </w:r>
      <w:r>
        <w:rPr>
          <w:rFonts w:ascii="Times New Roman" w:hAnsi="Times New Roman" w:cs="Times New Roman"/>
        </w:rPr>
        <w:t>hankija</w:t>
      </w:r>
      <w:r w:rsidRPr="00B92108">
        <w:rPr>
          <w:rFonts w:ascii="Times New Roman" w:hAnsi="Times New Roman" w:cs="Times New Roman"/>
        </w:rPr>
        <w:t xml:space="preserve"> asukoha regioonis.</w:t>
      </w:r>
    </w:p>
    <w:p w14:paraId="50641122" w14:textId="76B85641" w:rsidR="00101FF9" w:rsidRP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EF5EDB">
        <w:rPr>
          <w:rFonts w:ascii="Times New Roman" w:hAnsi="Times New Roman" w:cs="Times New Roman"/>
        </w:rPr>
        <w:t>Tootetugi –</w:t>
      </w:r>
      <w:r w:rsidR="00964696">
        <w:rPr>
          <w:rFonts w:ascii="Times New Roman" w:hAnsi="Times New Roman" w:cs="Times New Roman"/>
        </w:rPr>
        <w:t xml:space="preserve"> </w:t>
      </w:r>
      <w:r w:rsidR="00AC02EE">
        <w:rPr>
          <w:rFonts w:ascii="Times New Roman" w:hAnsi="Times New Roman" w:cs="Times New Roman"/>
        </w:rPr>
        <w:t>36</w:t>
      </w:r>
      <w:r w:rsidR="00964696">
        <w:rPr>
          <w:rFonts w:ascii="Times New Roman" w:hAnsi="Times New Roman" w:cs="Times New Roman"/>
        </w:rPr>
        <w:t xml:space="preserve"> kuuline riistvara tootjapoolne tootetugi</w:t>
      </w:r>
      <w:r w:rsidRPr="00EF5EDB">
        <w:rPr>
          <w:rFonts w:ascii="Times New Roman" w:hAnsi="Times New Roman" w:cs="Times New Roman"/>
        </w:rPr>
        <w:t xml:space="preserve"> </w:t>
      </w:r>
      <w:r w:rsidRPr="00B92108">
        <w:rPr>
          <w:rFonts w:ascii="Times New Roman" w:hAnsi="Times New Roman" w:cs="Times New Roman"/>
        </w:rPr>
        <w:t>riknenud komponentidele reageerimisega hiljemalt järgmisel tööpäeval. Riknenud kõvaketaste tagastamine ei ole kohustuslik.</w:t>
      </w:r>
    </w:p>
    <w:p w14:paraId="29F23479" w14:textId="77777777" w:rsid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A7258C">
        <w:rPr>
          <w:rFonts w:ascii="Times New Roman" w:hAnsi="Times New Roman" w:cs="Times New Roman"/>
        </w:rPr>
        <w:t>Samaväärse toote pakkumisel peab pakkumuse maksumus hõlmama kõiki kulusid, mis on vajalikud toote kasutuselevõtuks, sealhulgas selle integreerimiseks hankija süsteemidesse ja süsteemide ümbervahetuseks. Vajadusel peab maksumus sisaldama ka kasutajate koolitamist ning muid seotud teenuseid, mis on vajalikud lahenduse täielikuks toimimiseks vastavalt hankija vajadustele.</w:t>
      </w:r>
    </w:p>
    <w:p w14:paraId="4BD3C7BE" w14:textId="77777777" w:rsidR="00101FF9" w:rsidRDefault="00101FF9" w:rsidP="00101FF9">
      <w:pPr>
        <w:pStyle w:val="ListParagraph"/>
        <w:numPr>
          <w:ilvl w:val="1"/>
          <w:numId w:val="6"/>
        </w:numPr>
        <w:spacing w:after="160" w:line="259" w:lineRule="auto"/>
        <w:ind w:left="567" w:hanging="567"/>
        <w:contextualSpacing/>
        <w:jc w:val="both"/>
        <w:rPr>
          <w:rFonts w:ascii="Times New Roman" w:hAnsi="Times New Roman" w:cs="Times New Roman"/>
        </w:rPr>
      </w:pPr>
      <w:r w:rsidRPr="00101FF9">
        <w:rPr>
          <w:rFonts w:ascii="Times New Roman" w:hAnsi="Times New Roman" w:cs="Times New Roman"/>
        </w:rPr>
        <w:t>Pakkumuses peab esitama minikonkursis nõutud seadmete kirjelduse ja seadmete kogused viisil, mis võimaldab esitatud pakkumusest üheselt tuvastada, et kõik nõuded on täidetud.</w:t>
      </w:r>
    </w:p>
    <w:p w14:paraId="3203B1B7" w14:textId="77777777" w:rsidR="00CF4168" w:rsidRPr="0050030C" w:rsidRDefault="00CF4168" w:rsidP="00E15AE7">
      <w:pPr>
        <w:ind w:left="0" w:firstLine="0"/>
        <w:rPr>
          <w:color w:val="auto"/>
          <w:szCs w:val="24"/>
        </w:rPr>
      </w:pPr>
    </w:p>
    <w:p w14:paraId="2BCFE28B" w14:textId="56B38D7B" w:rsidR="004D49BC" w:rsidRPr="00722461" w:rsidRDefault="00CF4168" w:rsidP="00101FF9">
      <w:pPr>
        <w:pStyle w:val="ListParagraph"/>
        <w:numPr>
          <w:ilvl w:val="0"/>
          <w:numId w:val="6"/>
        </w:numPr>
        <w:spacing w:after="160" w:line="259" w:lineRule="auto"/>
        <w:ind w:left="284" w:hanging="284"/>
        <w:contextualSpacing/>
        <w:jc w:val="both"/>
        <w:rPr>
          <w:rFonts w:ascii="Times New Roman" w:hAnsi="Times New Roman" w:cs="Times New Roman"/>
          <w:b/>
        </w:rPr>
      </w:pPr>
      <w:r w:rsidRPr="00722461">
        <w:rPr>
          <w:rFonts w:ascii="Times New Roman" w:hAnsi="Times New Roman" w:cs="Times New Roman"/>
          <w:b/>
        </w:rPr>
        <w:t>Seade 1</w:t>
      </w:r>
    </w:p>
    <w:p w14:paraId="3D3DE9EB" w14:textId="77777777" w:rsidR="007937F0" w:rsidRPr="007937F0" w:rsidRDefault="007937F0" w:rsidP="007937F0">
      <w:pPr>
        <w:spacing w:after="0" w:line="259" w:lineRule="auto"/>
        <w:ind w:left="15" w:firstLine="0"/>
        <w:jc w:val="left"/>
        <w:rPr>
          <w:b/>
          <w:bCs/>
          <w:szCs w:val="24"/>
        </w:rPr>
      </w:pPr>
    </w:p>
    <w:p w14:paraId="6132A69E" w14:textId="5F8B106B" w:rsidR="004D49BC" w:rsidRPr="0050030C" w:rsidRDefault="00B017F1" w:rsidP="007937F0">
      <w:pPr>
        <w:spacing w:after="0" w:line="259" w:lineRule="auto"/>
        <w:ind w:left="15" w:firstLine="0"/>
        <w:jc w:val="left"/>
        <w:rPr>
          <w:b/>
          <w:bCs/>
          <w:szCs w:val="24"/>
        </w:rPr>
      </w:pPr>
      <w:r>
        <w:rPr>
          <w:b/>
          <w:bCs/>
          <w:szCs w:val="24"/>
        </w:rPr>
        <w:t xml:space="preserve">Näidisseade </w:t>
      </w:r>
      <w:proofErr w:type="spellStart"/>
      <w:r w:rsidR="00877CFE">
        <w:rPr>
          <w:b/>
          <w:bCs/>
          <w:szCs w:val="24"/>
        </w:rPr>
        <w:t>SuperMicro</w:t>
      </w:r>
      <w:proofErr w:type="spellEnd"/>
      <w:r w:rsidR="00877CFE">
        <w:rPr>
          <w:b/>
          <w:bCs/>
          <w:szCs w:val="24"/>
        </w:rPr>
        <w:t xml:space="preserve"> AS-8126GS-NB3RT</w:t>
      </w:r>
      <w:r w:rsidR="006E560B" w:rsidRPr="0050030C">
        <w:rPr>
          <w:szCs w:val="24"/>
        </w:rPr>
        <w:t xml:space="preserve"> (või „sellega samaväärne“ või parem) </w:t>
      </w:r>
      <w:r w:rsidR="005E60B7">
        <w:rPr>
          <w:szCs w:val="24"/>
        </w:rPr>
        <w:t>–</w:t>
      </w:r>
      <w:r w:rsidR="00CA6848" w:rsidRPr="00880558">
        <w:rPr>
          <w:b/>
          <w:bCs/>
          <w:szCs w:val="24"/>
        </w:rPr>
        <w:t xml:space="preserve"> </w:t>
      </w:r>
      <w:r w:rsidR="007937F0">
        <w:rPr>
          <w:b/>
          <w:bCs/>
          <w:szCs w:val="24"/>
        </w:rPr>
        <w:t>1</w:t>
      </w:r>
      <w:r w:rsidR="005E60B7">
        <w:rPr>
          <w:szCs w:val="24"/>
        </w:rPr>
        <w:t xml:space="preserve"> </w:t>
      </w:r>
      <w:r w:rsidR="004D49BC" w:rsidRPr="0050030C">
        <w:rPr>
          <w:b/>
          <w:bCs/>
          <w:szCs w:val="24"/>
        </w:rPr>
        <w:t xml:space="preserve">tk </w:t>
      </w:r>
    </w:p>
    <w:p w14:paraId="571FA18C" w14:textId="77777777" w:rsidR="00CA6848" w:rsidRPr="0050030C" w:rsidRDefault="00CA6848" w:rsidP="00CA6848">
      <w:pPr>
        <w:ind w:left="0" w:firstLine="0"/>
        <w:rPr>
          <w:szCs w:val="24"/>
        </w:rPr>
      </w:pPr>
    </w:p>
    <w:p w14:paraId="0D52AA8A" w14:textId="4EC7A17C" w:rsidR="006E21C8" w:rsidRPr="0050030C" w:rsidRDefault="004D49BC" w:rsidP="004D49BC">
      <w:pPr>
        <w:rPr>
          <w:szCs w:val="24"/>
        </w:rPr>
      </w:pPr>
      <w:r w:rsidRPr="0050030C">
        <w:rPr>
          <w:szCs w:val="24"/>
        </w:rPr>
        <w:t>Konfiguratsioonis seadme kohta</w:t>
      </w:r>
      <w:r w:rsidR="000C177C" w:rsidRPr="0050030C">
        <w:rPr>
          <w:szCs w:val="24"/>
        </w:rPr>
        <w:t xml:space="preserve"> (või „sellega samaväärne“ või parem) </w:t>
      </w:r>
      <w:r w:rsidRPr="0050030C">
        <w:rPr>
          <w:szCs w:val="24"/>
        </w:rPr>
        <w:t>-</w:t>
      </w:r>
      <w:r w:rsidRPr="0050030C">
        <w:rPr>
          <w:szCs w:val="24"/>
        </w:rPr>
        <w:tab/>
      </w:r>
      <w:bookmarkEnd w:id="0"/>
    </w:p>
    <w:p w14:paraId="46F1BCAF" w14:textId="77777777" w:rsidR="00CE1493" w:rsidRPr="0050030C" w:rsidRDefault="00CE1493" w:rsidP="004D49BC">
      <w:pPr>
        <w:rPr>
          <w:szCs w:val="24"/>
        </w:rPr>
      </w:pPr>
    </w:p>
    <w:tbl>
      <w:tblPr>
        <w:tblW w:w="10395" w:type="dxa"/>
        <w:tblLayout w:type="fixed"/>
        <w:tblCellMar>
          <w:left w:w="70" w:type="dxa"/>
          <w:right w:w="70" w:type="dxa"/>
        </w:tblCellMar>
        <w:tblLook w:val="04A0" w:firstRow="1" w:lastRow="0" w:firstColumn="1" w:lastColumn="0" w:noHBand="0" w:noVBand="1"/>
      </w:tblPr>
      <w:tblGrid>
        <w:gridCol w:w="1736"/>
        <w:gridCol w:w="3929"/>
        <w:gridCol w:w="1170"/>
        <w:gridCol w:w="3560"/>
      </w:tblGrid>
      <w:tr w:rsidR="00FD7D6D" w:rsidRPr="0050030C" w14:paraId="280B51FD" w14:textId="77777777" w:rsidTr="009D3C91">
        <w:trPr>
          <w:trHeight w:val="707"/>
        </w:trPr>
        <w:tc>
          <w:tcPr>
            <w:tcW w:w="5665" w:type="dxa"/>
            <w:gridSpan w:val="2"/>
            <w:tcBorders>
              <w:top w:val="single" w:sz="4" w:space="0" w:color="auto"/>
              <w:left w:val="single" w:sz="4" w:space="0" w:color="auto"/>
              <w:bottom w:val="single" w:sz="4" w:space="0" w:color="auto"/>
              <w:right w:val="single" w:sz="4" w:space="0" w:color="auto"/>
            </w:tcBorders>
            <w:shd w:val="clear" w:color="CCFFCC" w:fill="DDDDDD"/>
            <w:noWrap/>
            <w:vAlign w:val="bottom"/>
            <w:hideMark/>
          </w:tcPr>
          <w:p w14:paraId="1AE84455" w14:textId="07C2812E" w:rsidR="00FD7D6D" w:rsidRPr="0050030C" w:rsidRDefault="00FD7D6D" w:rsidP="00FD7D6D">
            <w:pPr>
              <w:spacing w:after="0" w:line="720" w:lineRule="auto"/>
              <w:ind w:left="0" w:firstLine="0"/>
              <w:jc w:val="left"/>
              <w:rPr>
                <w:b/>
                <w:bCs/>
                <w:kern w:val="0"/>
                <w:szCs w:val="24"/>
                <w14:ligatures w14:val="none"/>
              </w:rPr>
            </w:pPr>
            <w:r w:rsidRPr="0050030C">
              <w:rPr>
                <w:b/>
                <w:bCs/>
                <w:kern w:val="0"/>
                <w:szCs w:val="24"/>
                <w14:ligatures w14:val="none"/>
              </w:rPr>
              <w:t>Nõude kirjeldus</w:t>
            </w:r>
          </w:p>
          <w:p w14:paraId="7660F6FA" w14:textId="246D948A" w:rsidR="00FD7D6D" w:rsidRPr="0050030C" w:rsidRDefault="00FD7D6D" w:rsidP="00FD7D6D">
            <w:pPr>
              <w:spacing w:after="0" w:line="240" w:lineRule="auto"/>
              <w:ind w:left="0" w:firstLine="0"/>
              <w:jc w:val="left"/>
              <w:rPr>
                <w:b/>
                <w:bCs/>
                <w:kern w:val="0"/>
                <w:szCs w:val="24"/>
                <w14:ligatures w14:val="none"/>
              </w:rPr>
            </w:pPr>
            <w:r w:rsidRPr="0050030C">
              <w:rPr>
                <w:b/>
                <w:bCs/>
                <w:kern w:val="0"/>
                <w:szCs w:val="24"/>
                <w14:ligatures w14:val="none"/>
              </w:rPr>
              <w:t> </w:t>
            </w:r>
          </w:p>
        </w:tc>
        <w:tc>
          <w:tcPr>
            <w:tcW w:w="1170" w:type="dxa"/>
            <w:tcBorders>
              <w:top w:val="single" w:sz="4" w:space="0" w:color="auto"/>
              <w:left w:val="single" w:sz="4" w:space="0" w:color="auto"/>
              <w:bottom w:val="single" w:sz="4" w:space="0" w:color="auto"/>
              <w:right w:val="single" w:sz="4" w:space="0" w:color="auto"/>
            </w:tcBorders>
            <w:shd w:val="clear" w:color="CCFFCC" w:fill="DDDDDD"/>
            <w:hideMark/>
          </w:tcPr>
          <w:p w14:paraId="00EFD3FA" w14:textId="77777777" w:rsidR="00FD7D6D" w:rsidRPr="0050030C" w:rsidRDefault="00FD7D6D" w:rsidP="00FD7D6D">
            <w:pPr>
              <w:spacing w:after="0" w:line="240" w:lineRule="auto"/>
              <w:ind w:left="0" w:firstLine="0"/>
              <w:jc w:val="left"/>
              <w:rPr>
                <w:b/>
                <w:bCs/>
                <w:kern w:val="0"/>
                <w:szCs w:val="24"/>
                <w14:ligatures w14:val="none"/>
              </w:rPr>
            </w:pPr>
            <w:r w:rsidRPr="0050030C">
              <w:rPr>
                <w:b/>
                <w:bCs/>
                <w:kern w:val="0"/>
                <w:szCs w:val="24"/>
                <w14:ligatures w14:val="none"/>
              </w:rPr>
              <w:t>Pakkuja vastus JAH/EI</w:t>
            </w:r>
          </w:p>
        </w:tc>
        <w:tc>
          <w:tcPr>
            <w:tcW w:w="3560" w:type="dxa"/>
            <w:tcBorders>
              <w:top w:val="single" w:sz="4" w:space="0" w:color="auto"/>
              <w:left w:val="single" w:sz="4" w:space="0" w:color="auto"/>
              <w:bottom w:val="single" w:sz="4" w:space="0" w:color="auto"/>
              <w:right w:val="single" w:sz="4" w:space="0" w:color="auto"/>
            </w:tcBorders>
            <w:shd w:val="clear" w:color="CCFFCC" w:fill="DDDDDD"/>
            <w:hideMark/>
          </w:tcPr>
          <w:p w14:paraId="0BA3DABE" w14:textId="77777777" w:rsidR="00FD7D6D" w:rsidRPr="0050030C" w:rsidRDefault="00FD7D6D" w:rsidP="00FD7D6D">
            <w:pPr>
              <w:spacing w:after="0" w:line="240" w:lineRule="auto"/>
              <w:ind w:left="0" w:firstLine="0"/>
              <w:jc w:val="left"/>
              <w:rPr>
                <w:b/>
                <w:bCs/>
                <w:kern w:val="0"/>
                <w:szCs w:val="24"/>
                <w14:ligatures w14:val="none"/>
              </w:rPr>
            </w:pPr>
            <w:r w:rsidRPr="0050030C">
              <w:rPr>
                <w:b/>
                <w:bCs/>
                <w:kern w:val="0"/>
                <w:szCs w:val="24"/>
                <w14:ligatures w14:val="none"/>
              </w:rPr>
              <w:t>Pakkuja selgitus nõudele või viide veebikeskkondadest leitavale infole, et hankija saaks üheselt mõistetavalt kontrollida nõude täitmist.</w:t>
            </w:r>
          </w:p>
        </w:tc>
      </w:tr>
      <w:tr w:rsidR="00DE6086" w:rsidRPr="0050030C" w14:paraId="0BE0BA54"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55552745" w14:textId="77777777" w:rsidR="00DE6086" w:rsidRPr="0050030C" w:rsidRDefault="00DE6086" w:rsidP="00B051EB">
            <w:pPr>
              <w:ind w:left="0" w:firstLine="0"/>
              <w:jc w:val="left"/>
              <w:rPr>
                <w:b/>
                <w:bCs/>
                <w:szCs w:val="24"/>
              </w:rPr>
            </w:pPr>
            <w:r w:rsidRPr="0050030C">
              <w:rPr>
                <w:b/>
                <w:bCs/>
                <w:szCs w:val="24"/>
              </w:rPr>
              <w:t>CPU</w:t>
            </w:r>
          </w:p>
        </w:tc>
        <w:tc>
          <w:tcPr>
            <w:tcW w:w="3929" w:type="dxa"/>
            <w:tcBorders>
              <w:top w:val="single" w:sz="4" w:space="0" w:color="auto"/>
              <w:left w:val="single" w:sz="4" w:space="0" w:color="auto"/>
              <w:bottom w:val="single" w:sz="4" w:space="0" w:color="auto"/>
              <w:right w:val="single" w:sz="4" w:space="0" w:color="auto"/>
            </w:tcBorders>
            <w:vAlign w:val="center"/>
            <w:hideMark/>
          </w:tcPr>
          <w:p w14:paraId="3ED067C8" w14:textId="5AC3B52E" w:rsidR="00DE6086" w:rsidRPr="0050030C" w:rsidRDefault="004211AC" w:rsidP="00DE6086">
            <w:pPr>
              <w:spacing w:after="0" w:line="240" w:lineRule="auto"/>
              <w:ind w:left="0" w:firstLine="0"/>
              <w:jc w:val="left"/>
              <w:rPr>
                <w:color w:val="auto"/>
                <w:kern w:val="0"/>
                <w:szCs w:val="24"/>
                <w14:ligatures w14:val="none"/>
              </w:rPr>
            </w:pPr>
            <w:r>
              <w:rPr>
                <w:szCs w:val="24"/>
              </w:rPr>
              <w:t>2</w:t>
            </w:r>
            <w:r w:rsidR="00DE6086" w:rsidRPr="0050030C">
              <w:rPr>
                <w:szCs w:val="24"/>
              </w:rPr>
              <w:t xml:space="preserve"> x </w:t>
            </w:r>
            <w:r w:rsidRPr="004211AC">
              <w:rPr>
                <w:szCs w:val="24"/>
              </w:rPr>
              <w:t xml:space="preserve">AMD EPYC 9755 </w:t>
            </w:r>
            <w:r w:rsidR="001B7B2F" w:rsidRPr="001B7B2F">
              <w:rPr>
                <w:szCs w:val="24"/>
              </w:rPr>
              <w:t>(</w:t>
            </w:r>
            <w:r>
              <w:rPr>
                <w:szCs w:val="24"/>
              </w:rPr>
              <w:t>128</w:t>
            </w:r>
            <w:r w:rsidR="001B7B2F" w:rsidRPr="001B7B2F">
              <w:rPr>
                <w:szCs w:val="24"/>
              </w:rPr>
              <w:t>C, 2.</w:t>
            </w:r>
            <w:r>
              <w:rPr>
                <w:szCs w:val="24"/>
              </w:rPr>
              <w:t>7</w:t>
            </w:r>
            <w:r w:rsidR="001B7B2F" w:rsidRPr="001B7B2F">
              <w:rPr>
                <w:szCs w:val="24"/>
              </w:rPr>
              <w:t xml:space="preserve"> GHz, </w:t>
            </w:r>
            <w:proofErr w:type="spellStart"/>
            <w:r w:rsidR="001B7B2F" w:rsidRPr="001B7B2F">
              <w:rPr>
                <w:szCs w:val="24"/>
              </w:rPr>
              <w:t>up</w:t>
            </w:r>
            <w:proofErr w:type="spellEnd"/>
            <w:r w:rsidR="001B7B2F" w:rsidRPr="001B7B2F">
              <w:rPr>
                <w:szCs w:val="24"/>
              </w:rPr>
              <w:t xml:space="preserve"> </w:t>
            </w:r>
            <w:proofErr w:type="spellStart"/>
            <w:r w:rsidR="001B7B2F" w:rsidRPr="001B7B2F">
              <w:rPr>
                <w:szCs w:val="24"/>
              </w:rPr>
              <w:t>to</w:t>
            </w:r>
            <w:proofErr w:type="spellEnd"/>
            <w:r w:rsidR="001B7B2F" w:rsidRPr="001B7B2F">
              <w:rPr>
                <w:szCs w:val="24"/>
              </w:rPr>
              <w:t xml:space="preserve"> 4.</w:t>
            </w:r>
            <w:r>
              <w:rPr>
                <w:szCs w:val="24"/>
              </w:rPr>
              <w:t>1</w:t>
            </w:r>
            <w:r w:rsidR="001B7B2F" w:rsidRPr="001B7B2F">
              <w:rPr>
                <w:szCs w:val="24"/>
              </w:rPr>
              <w:t xml:space="preserve"> GHz</w:t>
            </w:r>
            <w:r w:rsidR="00972DF9">
              <w:rPr>
                <w:szCs w:val="24"/>
              </w:rPr>
              <w:t>, 512MB L3</w:t>
            </w:r>
            <w:r w:rsidR="001B7B2F" w:rsidRPr="001B7B2F">
              <w:rPr>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5C2A406B" w14:textId="77777777" w:rsidR="00DE6086" w:rsidRPr="0050030C" w:rsidRDefault="00DE6086" w:rsidP="00DE6086">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tcPr>
          <w:p w14:paraId="5BF61DC3" w14:textId="685F8309" w:rsidR="00DE6086" w:rsidRPr="0050030C" w:rsidRDefault="00DE6086" w:rsidP="00DE6086">
            <w:pPr>
              <w:spacing w:after="0" w:line="240" w:lineRule="auto"/>
              <w:ind w:left="0" w:firstLine="0"/>
              <w:jc w:val="left"/>
              <w:rPr>
                <w:color w:val="auto"/>
                <w:kern w:val="0"/>
                <w:szCs w:val="24"/>
                <w14:ligatures w14:val="none"/>
              </w:rPr>
            </w:pPr>
          </w:p>
        </w:tc>
      </w:tr>
      <w:tr w:rsidR="00FD7D6D" w:rsidRPr="0050030C" w14:paraId="7844C1D2"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4758DEFD" w14:textId="77777777" w:rsidR="00FD7D6D" w:rsidRPr="0050030C" w:rsidRDefault="00FD7D6D" w:rsidP="00B051EB">
            <w:pPr>
              <w:ind w:left="0" w:firstLine="0"/>
              <w:jc w:val="left"/>
              <w:rPr>
                <w:b/>
                <w:bCs/>
                <w:szCs w:val="24"/>
              </w:rPr>
            </w:pPr>
            <w:r w:rsidRPr="0050030C">
              <w:rPr>
                <w:b/>
                <w:bCs/>
                <w:szCs w:val="24"/>
              </w:rPr>
              <w:t>RAM</w:t>
            </w:r>
          </w:p>
        </w:tc>
        <w:tc>
          <w:tcPr>
            <w:tcW w:w="3929" w:type="dxa"/>
            <w:tcBorders>
              <w:top w:val="single" w:sz="4" w:space="0" w:color="auto"/>
              <w:left w:val="single" w:sz="4" w:space="0" w:color="auto"/>
              <w:bottom w:val="single" w:sz="4" w:space="0" w:color="auto"/>
              <w:right w:val="single" w:sz="4" w:space="0" w:color="auto"/>
            </w:tcBorders>
            <w:hideMark/>
          </w:tcPr>
          <w:p w14:paraId="376F6BC6" w14:textId="37B88BC8" w:rsidR="00FD7D6D" w:rsidRPr="0050030C" w:rsidRDefault="00D96BB4" w:rsidP="00FD7D6D">
            <w:pPr>
              <w:spacing w:after="0" w:line="240" w:lineRule="auto"/>
              <w:ind w:left="0" w:firstLine="0"/>
              <w:jc w:val="left"/>
              <w:rPr>
                <w:color w:val="auto"/>
                <w:kern w:val="0"/>
                <w:szCs w:val="24"/>
                <w14:ligatures w14:val="none"/>
              </w:rPr>
            </w:pPr>
            <w:r>
              <w:rPr>
                <w:color w:val="auto"/>
                <w:kern w:val="0"/>
                <w:szCs w:val="24"/>
                <w14:ligatures w14:val="none"/>
              </w:rPr>
              <w:t>24</w:t>
            </w:r>
            <w:r w:rsidR="00972DF9">
              <w:rPr>
                <w:color w:val="auto"/>
                <w:kern w:val="0"/>
                <w:szCs w:val="24"/>
                <w14:ligatures w14:val="none"/>
              </w:rPr>
              <w:t xml:space="preserve"> x </w:t>
            </w:r>
            <w:r>
              <w:rPr>
                <w:color w:val="auto"/>
                <w:kern w:val="0"/>
                <w:szCs w:val="24"/>
                <w14:ligatures w14:val="none"/>
              </w:rPr>
              <w:t>128</w:t>
            </w:r>
            <w:r w:rsidR="00FD7D6D" w:rsidRPr="0050030C">
              <w:rPr>
                <w:color w:val="auto"/>
                <w:kern w:val="0"/>
                <w:szCs w:val="24"/>
                <w14:ligatures w14:val="none"/>
              </w:rPr>
              <w:t xml:space="preserve"> GB, </w:t>
            </w:r>
            <w:proofErr w:type="spellStart"/>
            <w:r w:rsidR="00FD7D6D" w:rsidRPr="0050030C">
              <w:rPr>
                <w:color w:val="auto"/>
                <w:kern w:val="0"/>
                <w:szCs w:val="24"/>
                <w14:ligatures w14:val="none"/>
              </w:rPr>
              <w:t>registered</w:t>
            </w:r>
            <w:proofErr w:type="spellEnd"/>
            <w:r w:rsidR="00FD7D6D" w:rsidRPr="0050030C">
              <w:rPr>
                <w:color w:val="auto"/>
                <w:kern w:val="0"/>
                <w:szCs w:val="24"/>
                <w14:ligatures w14:val="none"/>
              </w:rPr>
              <w:t xml:space="preserve">, </w:t>
            </w:r>
            <w:r w:rsidR="00972DF9">
              <w:rPr>
                <w:color w:val="auto"/>
                <w:kern w:val="0"/>
                <w:szCs w:val="24"/>
                <w14:ligatures w14:val="none"/>
              </w:rPr>
              <w:t xml:space="preserve">DDR5 </w:t>
            </w:r>
            <w:proofErr w:type="spellStart"/>
            <w:r w:rsidR="00972DF9">
              <w:rPr>
                <w:color w:val="auto"/>
                <w:kern w:val="0"/>
                <w:szCs w:val="24"/>
                <w14:ligatures w14:val="none"/>
              </w:rPr>
              <w:t>with</w:t>
            </w:r>
            <w:proofErr w:type="spellEnd"/>
            <w:r w:rsidR="00972DF9">
              <w:rPr>
                <w:color w:val="auto"/>
                <w:kern w:val="0"/>
                <w:szCs w:val="24"/>
                <w14:ligatures w14:val="none"/>
              </w:rPr>
              <w:t xml:space="preserve"> </w:t>
            </w:r>
            <w:r w:rsidR="00FD7D6D" w:rsidRPr="0050030C">
              <w:rPr>
                <w:color w:val="auto"/>
                <w:kern w:val="0"/>
                <w:szCs w:val="24"/>
                <w14:ligatures w14:val="none"/>
              </w:rPr>
              <w:t>ECC</w:t>
            </w:r>
            <w:r w:rsidR="00877CFE">
              <w:rPr>
                <w:color w:val="auto"/>
                <w:kern w:val="0"/>
                <w:szCs w:val="24"/>
                <w14:ligatures w14:val="none"/>
              </w:rPr>
              <w:t>,</w:t>
            </w:r>
            <w:r w:rsidR="00FD7D6D" w:rsidRPr="0050030C">
              <w:rPr>
                <w:color w:val="auto"/>
                <w:kern w:val="0"/>
                <w:szCs w:val="24"/>
                <w14:ligatures w14:val="none"/>
              </w:rPr>
              <w:t xml:space="preserve"> </w:t>
            </w:r>
            <w:r w:rsidR="00877CFE">
              <w:rPr>
                <w:color w:val="auto"/>
                <w:kern w:val="0"/>
                <w:szCs w:val="24"/>
                <w14:ligatures w14:val="none"/>
              </w:rPr>
              <w:t>6400MT/s</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88658EE" w14:textId="77777777" w:rsidR="00FD7D6D" w:rsidRPr="0050030C" w:rsidRDefault="00FD7D6D"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tcPr>
          <w:p w14:paraId="650E7FAB" w14:textId="3332D6D9" w:rsidR="00FD7D6D" w:rsidRPr="0050030C" w:rsidRDefault="00FD7D6D" w:rsidP="00FD7D6D">
            <w:pPr>
              <w:spacing w:after="0" w:line="240" w:lineRule="auto"/>
              <w:ind w:left="0" w:firstLine="0"/>
              <w:jc w:val="left"/>
              <w:rPr>
                <w:color w:val="auto"/>
                <w:kern w:val="0"/>
                <w:szCs w:val="24"/>
                <w14:ligatures w14:val="none"/>
              </w:rPr>
            </w:pPr>
          </w:p>
        </w:tc>
      </w:tr>
      <w:tr w:rsidR="00972DF9" w:rsidRPr="0050030C" w14:paraId="6A32EF55"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00CC9B6A" w14:textId="4CBB27AC" w:rsidR="00972DF9" w:rsidRPr="0050030C" w:rsidRDefault="00972DF9" w:rsidP="00B051EB">
            <w:pPr>
              <w:ind w:left="0" w:firstLine="0"/>
              <w:jc w:val="left"/>
              <w:rPr>
                <w:b/>
                <w:bCs/>
                <w:szCs w:val="24"/>
              </w:rPr>
            </w:pPr>
            <w:r w:rsidRPr="0050030C">
              <w:rPr>
                <w:b/>
                <w:bCs/>
                <w:szCs w:val="24"/>
              </w:rPr>
              <w:t>DISK 1 (</w:t>
            </w:r>
            <w:proofErr w:type="spellStart"/>
            <w:r w:rsidRPr="0050030C">
              <w:rPr>
                <w:b/>
                <w:bCs/>
                <w:szCs w:val="24"/>
              </w:rPr>
              <w:t>boot</w:t>
            </w:r>
            <w:proofErr w:type="spellEnd"/>
            <w:r w:rsidRPr="0050030C">
              <w:rPr>
                <w:b/>
                <w:bCs/>
                <w:szCs w:val="24"/>
              </w:rPr>
              <w:t>)</w:t>
            </w:r>
          </w:p>
        </w:tc>
        <w:tc>
          <w:tcPr>
            <w:tcW w:w="3929" w:type="dxa"/>
            <w:tcBorders>
              <w:top w:val="single" w:sz="4" w:space="0" w:color="auto"/>
              <w:left w:val="single" w:sz="4" w:space="0" w:color="auto"/>
              <w:bottom w:val="single" w:sz="4" w:space="0" w:color="auto"/>
              <w:right w:val="single" w:sz="4" w:space="0" w:color="auto"/>
            </w:tcBorders>
            <w:hideMark/>
          </w:tcPr>
          <w:p w14:paraId="4472EA61" w14:textId="19601A5D"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xml:space="preserve">2 x </w:t>
            </w:r>
            <w:r w:rsidR="00FE1BBE" w:rsidRPr="00FE1BBE">
              <w:rPr>
                <w:color w:val="auto"/>
                <w:kern w:val="0"/>
                <w:szCs w:val="24"/>
                <w14:ligatures w14:val="none"/>
              </w:rPr>
              <w:t>384</w:t>
            </w:r>
            <w:r w:rsidR="007701C7">
              <w:rPr>
                <w:color w:val="auto"/>
                <w:kern w:val="0"/>
                <w:szCs w:val="24"/>
                <w14:ligatures w14:val="none"/>
              </w:rPr>
              <w:t>0</w:t>
            </w:r>
            <w:r w:rsidR="00FE1BBE" w:rsidRPr="00FE1BBE">
              <w:rPr>
                <w:color w:val="auto"/>
                <w:kern w:val="0"/>
                <w:szCs w:val="24"/>
                <w14:ligatures w14:val="none"/>
              </w:rPr>
              <w:t xml:space="preserve"> </w:t>
            </w:r>
            <w:r w:rsidR="007701C7">
              <w:rPr>
                <w:color w:val="auto"/>
                <w:kern w:val="0"/>
                <w:szCs w:val="24"/>
                <w14:ligatures w14:val="none"/>
              </w:rPr>
              <w:t>G</w:t>
            </w:r>
            <w:r w:rsidR="00FE1BBE" w:rsidRPr="00FE1BBE">
              <w:rPr>
                <w:color w:val="auto"/>
                <w:kern w:val="0"/>
                <w:szCs w:val="24"/>
                <w14:ligatures w14:val="none"/>
              </w:rPr>
              <w:t xml:space="preserve">B </w:t>
            </w:r>
            <w:proofErr w:type="spellStart"/>
            <w:r w:rsidR="00FE1BBE" w:rsidRPr="00FE1BBE">
              <w:rPr>
                <w:color w:val="auto"/>
                <w:kern w:val="0"/>
                <w:szCs w:val="24"/>
                <w14:ligatures w14:val="none"/>
              </w:rPr>
              <w:t>NVMe</w:t>
            </w:r>
            <w:proofErr w:type="spellEnd"/>
            <w:r w:rsidR="00FE1BBE" w:rsidRPr="00FE1BBE">
              <w:rPr>
                <w:color w:val="auto"/>
                <w:kern w:val="0"/>
                <w:szCs w:val="24"/>
                <w14:ligatures w14:val="none"/>
              </w:rPr>
              <w:t xml:space="preserve"> SSD </w:t>
            </w:r>
            <w:proofErr w:type="spellStart"/>
            <w:r w:rsidR="00FE1BBE" w:rsidRPr="00FE1BBE">
              <w:rPr>
                <w:color w:val="auto"/>
                <w:kern w:val="0"/>
                <w:szCs w:val="24"/>
                <w14:ligatures w14:val="none"/>
              </w:rPr>
              <w:t>PCIe</w:t>
            </w:r>
            <w:proofErr w:type="spellEnd"/>
            <w:r w:rsidR="00FE1BBE" w:rsidRPr="00FE1BBE">
              <w:rPr>
                <w:color w:val="auto"/>
                <w:kern w:val="0"/>
                <w:szCs w:val="24"/>
                <w14:ligatures w14:val="none"/>
              </w:rPr>
              <w:t xml:space="preserve"> 4.0 x4 (1 DWPD) M.2</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7965FEA" w14:textId="109456C5"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tcPr>
          <w:p w14:paraId="2EEA3654" w14:textId="40690FDC" w:rsidR="00972DF9" w:rsidRPr="0050030C" w:rsidRDefault="00972DF9" w:rsidP="00FD7D6D">
            <w:pPr>
              <w:spacing w:after="0" w:line="240" w:lineRule="auto"/>
              <w:ind w:left="0" w:firstLine="0"/>
              <w:jc w:val="left"/>
              <w:rPr>
                <w:color w:val="auto"/>
                <w:kern w:val="0"/>
                <w:szCs w:val="24"/>
                <w14:ligatures w14:val="none"/>
              </w:rPr>
            </w:pPr>
          </w:p>
        </w:tc>
      </w:tr>
      <w:tr w:rsidR="00972DF9" w:rsidRPr="0050030C" w14:paraId="01C558B7"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74319F2F" w14:textId="51A2652A" w:rsidR="00972DF9" w:rsidRPr="0050030C" w:rsidRDefault="00972DF9" w:rsidP="00B051EB">
            <w:pPr>
              <w:ind w:left="0" w:firstLine="0"/>
              <w:jc w:val="left"/>
              <w:rPr>
                <w:b/>
                <w:bCs/>
                <w:szCs w:val="24"/>
              </w:rPr>
            </w:pPr>
            <w:r w:rsidRPr="0050030C">
              <w:rPr>
                <w:b/>
                <w:bCs/>
                <w:szCs w:val="24"/>
              </w:rPr>
              <w:t>DISK 2 (</w:t>
            </w:r>
            <w:proofErr w:type="spellStart"/>
            <w:r w:rsidR="009B0835">
              <w:rPr>
                <w:b/>
                <w:bCs/>
                <w:szCs w:val="24"/>
              </w:rPr>
              <w:t>data</w:t>
            </w:r>
            <w:proofErr w:type="spellEnd"/>
            <w:r w:rsidRPr="0050030C">
              <w:rPr>
                <w:b/>
                <w:bCs/>
                <w:szCs w:val="24"/>
              </w:rPr>
              <w:t>)</w:t>
            </w:r>
          </w:p>
        </w:tc>
        <w:tc>
          <w:tcPr>
            <w:tcW w:w="3929" w:type="dxa"/>
            <w:tcBorders>
              <w:top w:val="single" w:sz="4" w:space="0" w:color="auto"/>
              <w:left w:val="single" w:sz="4" w:space="0" w:color="auto"/>
              <w:bottom w:val="single" w:sz="4" w:space="0" w:color="auto"/>
              <w:right w:val="single" w:sz="4" w:space="0" w:color="auto"/>
            </w:tcBorders>
            <w:hideMark/>
          </w:tcPr>
          <w:p w14:paraId="2EB4C9C8" w14:textId="63EBFC46" w:rsidR="00972DF9" w:rsidRPr="0050030C" w:rsidRDefault="007701C7" w:rsidP="00FD7D6D">
            <w:pPr>
              <w:spacing w:after="0" w:line="240" w:lineRule="auto"/>
              <w:ind w:left="0" w:firstLine="0"/>
              <w:jc w:val="left"/>
              <w:rPr>
                <w:color w:val="auto"/>
                <w:kern w:val="0"/>
                <w:szCs w:val="24"/>
                <w14:ligatures w14:val="none"/>
              </w:rPr>
            </w:pPr>
            <w:r>
              <w:rPr>
                <w:color w:val="auto"/>
                <w:kern w:val="0"/>
                <w:szCs w:val="24"/>
                <w14:ligatures w14:val="none"/>
              </w:rPr>
              <w:t>8</w:t>
            </w:r>
            <w:r w:rsidR="00972DF9" w:rsidRPr="0050030C">
              <w:rPr>
                <w:color w:val="auto"/>
                <w:kern w:val="0"/>
                <w:szCs w:val="24"/>
                <w14:ligatures w14:val="none"/>
              </w:rPr>
              <w:t xml:space="preserve"> x </w:t>
            </w:r>
            <w:r w:rsidR="00075FE1">
              <w:rPr>
                <w:color w:val="auto"/>
                <w:kern w:val="0"/>
                <w:szCs w:val="24"/>
                <w14:ligatures w14:val="none"/>
              </w:rPr>
              <w:t>768</w:t>
            </w:r>
            <w:r>
              <w:rPr>
                <w:color w:val="auto"/>
                <w:kern w:val="0"/>
                <w:szCs w:val="24"/>
                <w14:ligatures w14:val="none"/>
              </w:rPr>
              <w:t>0</w:t>
            </w:r>
            <w:r w:rsidR="009B0835" w:rsidRPr="0050030C">
              <w:rPr>
                <w:color w:val="auto"/>
                <w:kern w:val="0"/>
                <w:szCs w:val="24"/>
                <w14:ligatures w14:val="none"/>
              </w:rPr>
              <w:t xml:space="preserve"> GB </w:t>
            </w:r>
            <w:proofErr w:type="spellStart"/>
            <w:r w:rsidR="009B0835">
              <w:rPr>
                <w:color w:val="auto"/>
                <w:kern w:val="0"/>
                <w:szCs w:val="24"/>
                <w14:ligatures w14:val="none"/>
              </w:rPr>
              <w:t>NVMe</w:t>
            </w:r>
            <w:proofErr w:type="spellEnd"/>
            <w:r w:rsidR="009B0835" w:rsidRPr="0050030C">
              <w:rPr>
                <w:color w:val="auto"/>
                <w:kern w:val="0"/>
                <w:szCs w:val="24"/>
                <w14:ligatures w14:val="none"/>
              </w:rPr>
              <w:t xml:space="preserve"> </w:t>
            </w:r>
            <w:r w:rsidR="002C07E8">
              <w:rPr>
                <w:color w:val="auto"/>
                <w:kern w:val="0"/>
                <w:szCs w:val="24"/>
                <w14:ligatures w14:val="none"/>
              </w:rPr>
              <w:t xml:space="preserve">GEN5 </w:t>
            </w:r>
            <w:r w:rsidR="009B0835" w:rsidRPr="0050030C">
              <w:rPr>
                <w:color w:val="auto"/>
                <w:kern w:val="0"/>
                <w:szCs w:val="24"/>
                <w14:ligatures w14:val="none"/>
              </w:rPr>
              <w:t>SSD</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8ADD34C" w14:textId="6D7EC8B6"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6F8FFC0C" w14:textId="3B8B65F8"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780E9AA4"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0AE91DCE" w14:textId="6EA2DD0E" w:rsidR="00972DF9" w:rsidRPr="0050030C" w:rsidRDefault="00972DF9" w:rsidP="00B051EB">
            <w:pPr>
              <w:ind w:left="0" w:firstLine="0"/>
              <w:jc w:val="left"/>
              <w:rPr>
                <w:b/>
                <w:bCs/>
                <w:szCs w:val="24"/>
              </w:rPr>
            </w:pPr>
            <w:r>
              <w:rPr>
                <w:b/>
                <w:bCs/>
                <w:szCs w:val="24"/>
              </w:rPr>
              <w:t>GPU</w:t>
            </w:r>
          </w:p>
        </w:tc>
        <w:tc>
          <w:tcPr>
            <w:tcW w:w="3929" w:type="dxa"/>
            <w:tcBorders>
              <w:top w:val="single" w:sz="4" w:space="0" w:color="auto"/>
              <w:left w:val="single" w:sz="4" w:space="0" w:color="auto"/>
              <w:bottom w:val="single" w:sz="4" w:space="0" w:color="auto"/>
              <w:right w:val="single" w:sz="4" w:space="0" w:color="auto"/>
            </w:tcBorders>
            <w:hideMark/>
          </w:tcPr>
          <w:p w14:paraId="2C291998" w14:textId="07A0B6B3" w:rsidR="00972DF9" w:rsidRPr="0083062A" w:rsidRDefault="00A4713F" w:rsidP="00FD7D6D">
            <w:pPr>
              <w:spacing w:after="0" w:line="240" w:lineRule="auto"/>
              <w:ind w:left="0" w:firstLine="0"/>
              <w:jc w:val="left"/>
              <w:rPr>
                <w:szCs w:val="24"/>
              </w:rPr>
            </w:pPr>
            <w:r w:rsidRPr="00A4713F">
              <w:rPr>
                <w:szCs w:val="24"/>
              </w:rPr>
              <w:t xml:space="preserve">NVIDIA </w:t>
            </w:r>
            <w:r w:rsidR="00C738C6" w:rsidRPr="00C738C6">
              <w:rPr>
                <w:szCs w:val="24"/>
              </w:rPr>
              <w:t>HGX B300 8-GPU SXM (288GB)</w:t>
            </w:r>
            <w:r w:rsidR="0083062A">
              <w:rPr>
                <w:szCs w:val="24"/>
              </w:rPr>
              <w:t xml:space="preserve">. </w:t>
            </w:r>
            <w:r w:rsidR="0083062A" w:rsidRPr="0083062A">
              <w:rPr>
                <w:szCs w:val="24"/>
              </w:rPr>
              <w:t xml:space="preserve">Süsteem peab sisaldama </w:t>
            </w:r>
            <w:proofErr w:type="spellStart"/>
            <w:r w:rsidR="0083062A" w:rsidRPr="0083062A">
              <w:rPr>
                <w:szCs w:val="24"/>
              </w:rPr>
              <w:t>NVLink</w:t>
            </w:r>
            <w:proofErr w:type="spellEnd"/>
            <w:r w:rsidR="0083062A" w:rsidRPr="0083062A">
              <w:rPr>
                <w:szCs w:val="24"/>
              </w:rPr>
              <w:t xml:space="preserve"> 5. põlvkonna </w:t>
            </w:r>
            <w:proofErr w:type="spellStart"/>
            <w:r w:rsidR="0083062A" w:rsidRPr="0083062A">
              <w:rPr>
                <w:szCs w:val="24"/>
              </w:rPr>
              <w:t>siseühendusi</w:t>
            </w:r>
            <w:proofErr w:type="spellEnd"/>
            <w:r w:rsidR="0083062A" w:rsidRPr="0083062A">
              <w:rPr>
                <w:szCs w:val="24"/>
              </w:rPr>
              <w:t xml:space="preserve"> </w:t>
            </w:r>
            <w:r w:rsidR="0083062A" w:rsidRPr="0083062A">
              <w:rPr>
                <w:szCs w:val="24"/>
              </w:rPr>
              <w:lastRenderedPageBreak/>
              <w:t>(GPU-</w:t>
            </w:r>
            <w:proofErr w:type="spellStart"/>
            <w:r w:rsidR="0083062A" w:rsidRPr="0083062A">
              <w:rPr>
                <w:szCs w:val="24"/>
              </w:rPr>
              <w:t>to</w:t>
            </w:r>
            <w:proofErr w:type="spellEnd"/>
            <w:r w:rsidR="0083062A" w:rsidRPr="0083062A">
              <w:rPr>
                <w:szCs w:val="24"/>
              </w:rPr>
              <w:t xml:space="preserve">-GPU). </w:t>
            </w:r>
            <w:proofErr w:type="spellStart"/>
            <w:r w:rsidR="0083062A" w:rsidRPr="0083062A">
              <w:rPr>
                <w:szCs w:val="24"/>
              </w:rPr>
              <w:t>Skaleeritavuse</w:t>
            </w:r>
            <w:proofErr w:type="spellEnd"/>
            <w:r w:rsidR="0083062A" w:rsidRPr="0083062A">
              <w:rPr>
                <w:szCs w:val="24"/>
              </w:rPr>
              <w:t xml:space="preserve"> tagamiseks peavad olema komplektis </w:t>
            </w:r>
            <w:proofErr w:type="spellStart"/>
            <w:r w:rsidR="0083062A" w:rsidRPr="0083062A">
              <w:rPr>
                <w:szCs w:val="24"/>
              </w:rPr>
              <w:t>NVSwitch</w:t>
            </w:r>
            <w:proofErr w:type="spellEnd"/>
            <w:r w:rsidR="0083062A" w:rsidRPr="0083062A">
              <w:rPr>
                <w:szCs w:val="24"/>
              </w:rPr>
              <w:t xml:space="preserve"> OSFP väljavõtted (pordid), mis võimaldavad süsteemi laiendamist üle mitme sõlme (</w:t>
            </w:r>
            <w:proofErr w:type="spellStart"/>
            <w:r w:rsidR="0083062A" w:rsidRPr="0083062A">
              <w:rPr>
                <w:szCs w:val="24"/>
              </w:rPr>
              <w:t>multi-node</w:t>
            </w:r>
            <w:proofErr w:type="spellEnd"/>
            <w:r w:rsidR="0083062A" w:rsidRPr="0083062A">
              <w:rPr>
                <w:szCs w:val="24"/>
              </w:rPr>
              <w:t xml:space="preserve"> </w:t>
            </w:r>
            <w:proofErr w:type="spellStart"/>
            <w:r w:rsidR="0083062A" w:rsidRPr="0083062A">
              <w:rPr>
                <w:szCs w:val="24"/>
              </w:rPr>
              <w:t>scaling</w:t>
            </w:r>
            <w:proofErr w:type="spellEnd"/>
            <w:r w:rsidR="0083062A" w:rsidRPr="0083062A">
              <w:rPr>
                <w:szCs w:val="24"/>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FC797B4" w14:textId="436AA867"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lastRenderedPageBreak/>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6713A786" w14:textId="296F7FE1"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1A4DFCEF"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634F730C" w14:textId="7AA89410" w:rsidR="00972DF9" w:rsidRPr="0050030C" w:rsidRDefault="00972DF9" w:rsidP="00B051EB">
            <w:pPr>
              <w:ind w:left="0" w:firstLine="0"/>
              <w:jc w:val="left"/>
              <w:rPr>
                <w:b/>
                <w:bCs/>
                <w:szCs w:val="24"/>
              </w:rPr>
            </w:pPr>
            <w:r w:rsidRPr="0050030C">
              <w:rPr>
                <w:b/>
                <w:bCs/>
                <w:szCs w:val="24"/>
              </w:rPr>
              <w:t>LAN</w:t>
            </w:r>
          </w:p>
        </w:tc>
        <w:tc>
          <w:tcPr>
            <w:tcW w:w="3929" w:type="dxa"/>
            <w:tcBorders>
              <w:top w:val="single" w:sz="4" w:space="0" w:color="auto"/>
              <w:left w:val="single" w:sz="4" w:space="0" w:color="auto"/>
              <w:bottom w:val="single" w:sz="4" w:space="0" w:color="auto"/>
              <w:right w:val="single" w:sz="4" w:space="0" w:color="auto"/>
            </w:tcBorders>
            <w:hideMark/>
          </w:tcPr>
          <w:p w14:paraId="79FD7BBB" w14:textId="3C33CB37" w:rsidR="00972DF9" w:rsidRPr="0050030C" w:rsidRDefault="00972DF9" w:rsidP="00FD7D6D">
            <w:pPr>
              <w:spacing w:after="0" w:line="240" w:lineRule="auto"/>
              <w:ind w:left="0" w:firstLine="0"/>
              <w:jc w:val="left"/>
              <w:rPr>
                <w:color w:val="auto"/>
                <w:kern w:val="0"/>
                <w:szCs w:val="24"/>
                <w14:ligatures w14:val="none"/>
              </w:rPr>
            </w:pPr>
            <w:r w:rsidRPr="00972DF9">
              <w:rPr>
                <w:color w:val="auto"/>
                <w:kern w:val="0"/>
                <w:szCs w:val="24"/>
                <w14:ligatures w14:val="none"/>
              </w:rPr>
              <w:t xml:space="preserve">2 </w:t>
            </w:r>
            <w:r w:rsidR="00D96BB4" w:rsidRPr="009B0835">
              <w:rPr>
                <w:color w:val="auto"/>
                <w:kern w:val="0"/>
                <w:szCs w:val="24"/>
                <w14:ligatures w14:val="none"/>
              </w:rPr>
              <w:t xml:space="preserve">x </w:t>
            </w:r>
            <w:r w:rsidR="00D96BB4">
              <w:rPr>
                <w:color w:val="auto"/>
                <w:kern w:val="0"/>
                <w:szCs w:val="24"/>
                <w14:ligatures w14:val="none"/>
              </w:rPr>
              <w:t>QSFP</w:t>
            </w:r>
            <w:r w:rsidR="00D96BB4" w:rsidRPr="00EA3B82">
              <w:rPr>
                <w:color w:val="auto"/>
                <w:kern w:val="0"/>
                <w:szCs w:val="24"/>
                <w14:ligatures w14:val="none"/>
              </w:rPr>
              <w:t>28</w:t>
            </w:r>
            <w:r w:rsidR="00D96BB4">
              <w:rPr>
                <w:color w:val="auto"/>
                <w:kern w:val="0"/>
                <w:szCs w:val="24"/>
                <w14:ligatures w14:val="none"/>
              </w:rPr>
              <w:t xml:space="preserve"> </w:t>
            </w:r>
            <w:r w:rsidR="00D96BB4" w:rsidRPr="00D96BB4">
              <w:rPr>
                <w:color w:val="auto"/>
                <w:kern w:val="0"/>
                <w:szCs w:val="24"/>
                <w14:ligatures w14:val="none"/>
              </w:rPr>
              <w:t>ConnectX-6</w:t>
            </w:r>
            <w:r w:rsidR="00D96BB4">
              <w:rPr>
                <w:color w:val="auto"/>
                <w:kern w:val="0"/>
                <w:szCs w:val="24"/>
                <w14:ligatures w14:val="none"/>
              </w:rPr>
              <w:t xml:space="preserve"> (min. 100GbE)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C80B61D" w14:textId="7720F716"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40D72FB5" w14:textId="029085FC"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B0835" w:rsidRPr="0050030C" w14:paraId="0B59B411"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tcPr>
          <w:p w14:paraId="300DA3A0" w14:textId="790CCD20" w:rsidR="009B0835" w:rsidRPr="0050030C" w:rsidRDefault="00D96BB4" w:rsidP="00B051EB">
            <w:pPr>
              <w:ind w:left="0" w:firstLine="0"/>
              <w:jc w:val="left"/>
              <w:rPr>
                <w:b/>
                <w:bCs/>
                <w:szCs w:val="24"/>
              </w:rPr>
            </w:pPr>
            <w:r>
              <w:rPr>
                <w:b/>
                <w:bCs/>
                <w:szCs w:val="24"/>
              </w:rPr>
              <w:t>O</w:t>
            </w:r>
            <w:r w:rsidR="009B0835">
              <w:rPr>
                <w:b/>
                <w:bCs/>
                <w:szCs w:val="24"/>
              </w:rPr>
              <w:t>SFP</w:t>
            </w:r>
          </w:p>
        </w:tc>
        <w:tc>
          <w:tcPr>
            <w:tcW w:w="3929" w:type="dxa"/>
            <w:tcBorders>
              <w:top w:val="single" w:sz="4" w:space="0" w:color="auto"/>
              <w:left w:val="single" w:sz="4" w:space="0" w:color="auto"/>
              <w:bottom w:val="single" w:sz="4" w:space="0" w:color="auto"/>
              <w:right w:val="single" w:sz="4" w:space="0" w:color="auto"/>
            </w:tcBorders>
          </w:tcPr>
          <w:p w14:paraId="164AF0F7" w14:textId="6855634F" w:rsidR="009B0835" w:rsidRPr="00972DF9" w:rsidRDefault="009B0835" w:rsidP="00FD7D6D">
            <w:pPr>
              <w:spacing w:after="0" w:line="240" w:lineRule="auto"/>
              <w:ind w:left="0" w:firstLine="0"/>
              <w:jc w:val="left"/>
              <w:rPr>
                <w:color w:val="auto"/>
                <w:kern w:val="0"/>
                <w:szCs w:val="24"/>
                <w14:ligatures w14:val="none"/>
              </w:rPr>
            </w:pPr>
            <w:r w:rsidRPr="009B0835">
              <w:rPr>
                <w:color w:val="auto"/>
                <w:kern w:val="0"/>
                <w:szCs w:val="24"/>
                <w14:ligatures w14:val="none"/>
              </w:rPr>
              <w:t xml:space="preserve">8 x </w:t>
            </w:r>
            <w:r w:rsidR="00D96BB4">
              <w:rPr>
                <w:color w:val="auto"/>
                <w:kern w:val="0"/>
                <w:szCs w:val="24"/>
                <w14:ligatures w14:val="none"/>
              </w:rPr>
              <w:t>O</w:t>
            </w:r>
            <w:r w:rsidR="00EA3B82">
              <w:rPr>
                <w:color w:val="auto"/>
                <w:kern w:val="0"/>
                <w:szCs w:val="24"/>
                <w14:ligatures w14:val="none"/>
              </w:rPr>
              <w:t>SFP</w:t>
            </w:r>
            <w:r w:rsidR="00EA3B82" w:rsidRPr="00EA3B82">
              <w:rPr>
                <w:color w:val="auto"/>
                <w:kern w:val="0"/>
                <w:szCs w:val="24"/>
                <w14:ligatures w14:val="none"/>
              </w:rPr>
              <w:t>28</w:t>
            </w:r>
            <w:r w:rsidR="00877CFE">
              <w:rPr>
                <w:color w:val="auto"/>
                <w:kern w:val="0"/>
                <w:szCs w:val="24"/>
                <w14:ligatures w14:val="none"/>
              </w:rPr>
              <w:t xml:space="preserve"> (</w:t>
            </w:r>
            <w:r w:rsidR="00D96BB4" w:rsidRPr="00D96BB4">
              <w:rPr>
                <w:color w:val="auto"/>
                <w:kern w:val="0"/>
                <w:szCs w:val="24"/>
                <w14:ligatures w14:val="none"/>
              </w:rPr>
              <w:t xml:space="preserve">8 NVIDIA ConnectX-8 </w:t>
            </w:r>
            <w:proofErr w:type="spellStart"/>
            <w:r w:rsidR="00D96BB4" w:rsidRPr="00D96BB4">
              <w:rPr>
                <w:color w:val="auto"/>
                <w:kern w:val="0"/>
                <w:szCs w:val="24"/>
                <w14:ligatures w14:val="none"/>
              </w:rPr>
              <w:t>SuperNICs</w:t>
            </w:r>
            <w:proofErr w:type="spellEnd"/>
            <w:r w:rsidR="00D96BB4">
              <w:rPr>
                <w:color w:val="auto"/>
                <w:kern w:val="0"/>
                <w:szCs w:val="24"/>
                <w14:ligatures w14:val="none"/>
              </w:rPr>
              <w:t xml:space="preserve"> </w:t>
            </w:r>
            <w:proofErr w:type="spellStart"/>
            <w:r w:rsidR="00D96BB4">
              <w:rPr>
                <w:color w:val="auto"/>
                <w:kern w:val="0"/>
                <w:szCs w:val="24"/>
                <w14:ligatures w14:val="none"/>
              </w:rPr>
              <w:t>up</w:t>
            </w:r>
            <w:proofErr w:type="spellEnd"/>
            <w:r w:rsidR="00D96BB4">
              <w:rPr>
                <w:color w:val="auto"/>
                <w:kern w:val="0"/>
                <w:szCs w:val="24"/>
                <w14:ligatures w14:val="none"/>
              </w:rPr>
              <w:t xml:space="preserve"> </w:t>
            </w:r>
            <w:proofErr w:type="spellStart"/>
            <w:r w:rsidR="00D96BB4">
              <w:rPr>
                <w:color w:val="auto"/>
                <w:kern w:val="0"/>
                <w:szCs w:val="24"/>
                <w14:ligatures w14:val="none"/>
              </w:rPr>
              <w:t>to</w:t>
            </w:r>
            <w:proofErr w:type="spellEnd"/>
            <w:r w:rsidR="00D96BB4">
              <w:rPr>
                <w:color w:val="auto"/>
                <w:kern w:val="0"/>
                <w:szCs w:val="24"/>
                <w14:ligatures w14:val="none"/>
              </w:rPr>
              <w:t xml:space="preserve"> 800Gb/s</w:t>
            </w:r>
            <w:r w:rsidR="00877CFE">
              <w:rPr>
                <w:color w:val="auto"/>
                <w:kern w:val="0"/>
                <w:szCs w:val="24"/>
                <w14:ligatures w14:val="none"/>
              </w:rPr>
              <w:t>)</w:t>
            </w:r>
            <w:r w:rsidR="004F7387">
              <w:rPr>
                <w:color w:val="auto"/>
                <w:kern w:val="0"/>
                <w:szCs w:val="24"/>
                <w14:ligatures w14:val="none"/>
              </w:rPr>
              <w:t xml:space="preserve"> valmidus.</w:t>
            </w:r>
          </w:p>
        </w:tc>
        <w:tc>
          <w:tcPr>
            <w:tcW w:w="1170" w:type="dxa"/>
            <w:tcBorders>
              <w:top w:val="single" w:sz="4" w:space="0" w:color="auto"/>
              <w:left w:val="single" w:sz="4" w:space="0" w:color="auto"/>
              <w:bottom w:val="single" w:sz="4" w:space="0" w:color="auto"/>
              <w:right w:val="single" w:sz="4" w:space="0" w:color="auto"/>
            </w:tcBorders>
            <w:noWrap/>
            <w:vAlign w:val="bottom"/>
          </w:tcPr>
          <w:p w14:paraId="540B0447" w14:textId="77777777" w:rsidR="009B0835" w:rsidRPr="0050030C" w:rsidRDefault="009B0835" w:rsidP="00FD7D6D">
            <w:pPr>
              <w:spacing w:after="0" w:line="240" w:lineRule="auto"/>
              <w:ind w:left="0" w:firstLine="0"/>
              <w:jc w:val="left"/>
              <w:rPr>
                <w:color w:val="auto"/>
                <w:kern w:val="0"/>
                <w:szCs w:val="24"/>
                <w14:ligatures w14:val="none"/>
              </w:rPr>
            </w:pPr>
          </w:p>
        </w:tc>
        <w:tc>
          <w:tcPr>
            <w:tcW w:w="3560" w:type="dxa"/>
            <w:tcBorders>
              <w:top w:val="single" w:sz="4" w:space="0" w:color="auto"/>
              <w:left w:val="single" w:sz="4" w:space="0" w:color="auto"/>
              <w:bottom w:val="single" w:sz="4" w:space="0" w:color="auto"/>
              <w:right w:val="single" w:sz="4" w:space="0" w:color="auto"/>
            </w:tcBorders>
            <w:noWrap/>
            <w:vAlign w:val="bottom"/>
          </w:tcPr>
          <w:p w14:paraId="45AFFBBF" w14:textId="77777777" w:rsidR="009B0835" w:rsidRPr="0050030C" w:rsidRDefault="009B0835" w:rsidP="00FD7D6D">
            <w:pPr>
              <w:spacing w:after="0" w:line="240" w:lineRule="auto"/>
              <w:ind w:left="0" w:firstLine="0"/>
              <w:jc w:val="left"/>
              <w:rPr>
                <w:color w:val="auto"/>
                <w:kern w:val="0"/>
                <w:szCs w:val="24"/>
                <w14:ligatures w14:val="none"/>
              </w:rPr>
            </w:pPr>
          </w:p>
        </w:tc>
      </w:tr>
      <w:tr w:rsidR="00972DF9" w:rsidRPr="0050030C" w14:paraId="14B37E27"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3CED2FEC" w14:textId="67BCA220" w:rsidR="00972DF9" w:rsidRPr="0050030C" w:rsidRDefault="00972DF9" w:rsidP="00B051EB">
            <w:pPr>
              <w:ind w:left="0" w:firstLine="0"/>
              <w:jc w:val="left"/>
              <w:rPr>
                <w:b/>
                <w:bCs/>
                <w:szCs w:val="24"/>
              </w:rPr>
            </w:pPr>
            <w:r w:rsidRPr="0050030C">
              <w:rPr>
                <w:b/>
                <w:bCs/>
                <w:szCs w:val="24"/>
              </w:rPr>
              <w:t>Toide</w:t>
            </w:r>
          </w:p>
        </w:tc>
        <w:tc>
          <w:tcPr>
            <w:tcW w:w="3929" w:type="dxa"/>
            <w:tcBorders>
              <w:top w:val="single" w:sz="4" w:space="0" w:color="auto"/>
              <w:left w:val="single" w:sz="4" w:space="0" w:color="auto"/>
              <w:bottom w:val="single" w:sz="4" w:space="0" w:color="auto"/>
              <w:right w:val="single" w:sz="4" w:space="0" w:color="auto"/>
            </w:tcBorders>
            <w:hideMark/>
          </w:tcPr>
          <w:p w14:paraId="72543511" w14:textId="7C9BBDE2" w:rsidR="00972DF9" w:rsidRPr="0050030C" w:rsidRDefault="005968A2" w:rsidP="00FD7D6D">
            <w:pPr>
              <w:spacing w:after="0" w:line="240" w:lineRule="auto"/>
              <w:ind w:left="0" w:firstLine="0"/>
              <w:jc w:val="left"/>
              <w:rPr>
                <w:color w:val="auto"/>
                <w:kern w:val="0"/>
                <w:szCs w:val="24"/>
                <w14:ligatures w14:val="none"/>
              </w:rPr>
            </w:pPr>
            <w:r>
              <w:rPr>
                <w:color w:val="auto"/>
                <w:kern w:val="0"/>
                <w:szCs w:val="24"/>
                <w14:ligatures w14:val="none"/>
              </w:rPr>
              <w:t xml:space="preserve">6 </w:t>
            </w:r>
            <w:r w:rsidR="00972DF9" w:rsidRPr="0050030C">
              <w:rPr>
                <w:color w:val="auto"/>
                <w:kern w:val="0"/>
                <w:szCs w:val="24"/>
                <w14:ligatures w14:val="none"/>
              </w:rPr>
              <w:t xml:space="preserve">x </w:t>
            </w:r>
            <w:r>
              <w:rPr>
                <w:color w:val="auto"/>
                <w:kern w:val="0"/>
                <w:szCs w:val="24"/>
                <w14:ligatures w14:val="none"/>
              </w:rPr>
              <w:t>66</w:t>
            </w:r>
            <w:r w:rsidR="00972DF9">
              <w:rPr>
                <w:color w:val="auto"/>
                <w:kern w:val="0"/>
                <w:szCs w:val="24"/>
                <w14:ligatures w14:val="none"/>
              </w:rPr>
              <w:t>00W</w:t>
            </w:r>
            <w:r w:rsidR="00972DF9" w:rsidRPr="0050030C">
              <w:rPr>
                <w:color w:val="auto"/>
                <w:kern w:val="0"/>
                <w:szCs w:val="24"/>
                <w14:ligatures w14:val="none"/>
              </w:rPr>
              <w:t xml:space="preserve"> Power </w:t>
            </w:r>
            <w:proofErr w:type="spellStart"/>
            <w:r w:rsidR="00972DF9" w:rsidRPr="0050030C">
              <w:rPr>
                <w:color w:val="auto"/>
                <w:kern w:val="0"/>
                <w:szCs w:val="24"/>
                <w14:ligatures w14:val="none"/>
              </w:rPr>
              <w:t>Supply</w:t>
            </w:r>
            <w:proofErr w:type="spellEnd"/>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2384C031" w14:textId="4E66769A"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36CDEABF" w14:textId="0A52AB8E"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5906B2EC"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44FB4CB3" w14:textId="3CFB4504" w:rsidR="00972DF9" w:rsidRPr="0050030C" w:rsidRDefault="00972DF9" w:rsidP="00B051EB">
            <w:pPr>
              <w:ind w:left="0" w:firstLine="0"/>
              <w:jc w:val="left"/>
              <w:rPr>
                <w:b/>
                <w:bCs/>
                <w:szCs w:val="24"/>
              </w:rPr>
            </w:pPr>
            <w:r w:rsidRPr="0050030C">
              <w:rPr>
                <w:b/>
                <w:bCs/>
                <w:szCs w:val="24"/>
              </w:rPr>
              <w:t>Juhe</w:t>
            </w:r>
          </w:p>
        </w:tc>
        <w:tc>
          <w:tcPr>
            <w:tcW w:w="3929" w:type="dxa"/>
            <w:tcBorders>
              <w:top w:val="single" w:sz="4" w:space="0" w:color="auto"/>
              <w:left w:val="single" w:sz="4" w:space="0" w:color="auto"/>
              <w:bottom w:val="single" w:sz="4" w:space="0" w:color="auto"/>
              <w:right w:val="single" w:sz="4" w:space="0" w:color="auto"/>
            </w:tcBorders>
            <w:hideMark/>
          </w:tcPr>
          <w:p w14:paraId="77BA4125" w14:textId="0D3FC49E" w:rsidR="00972DF9" w:rsidRPr="0050030C" w:rsidRDefault="00972DF9" w:rsidP="00FD7D6D">
            <w:pPr>
              <w:spacing w:after="0" w:line="240" w:lineRule="auto"/>
              <w:ind w:left="0" w:firstLine="0"/>
              <w:jc w:val="left"/>
              <w:rPr>
                <w:color w:val="auto"/>
                <w:kern w:val="0"/>
                <w:szCs w:val="24"/>
                <w14:ligatures w14:val="none"/>
              </w:rPr>
            </w:pPr>
            <w:r>
              <w:rPr>
                <w:color w:val="auto"/>
                <w:kern w:val="0"/>
                <w:szCs w:val="24"/>
                <w14:ligatures w14:val="none"/>
              </w:rPr>
              <w:t>12</w:t>
            </w:r>
            <w:r w:rsidRPr="0050030C">
              <w:rPr>
                <w:color w:val="auto"/>
                <w:kern w:val="0"/>
                <w:szCs w:val="24"/>
                <w14:ligatures w14:val="none"/>
              </w:rPr>
              <w:t xml:space="preserve"> x Power </w:t>
            </w:r>
            <w:proofErr w:type="spellStart"/>
            <w:r w:rsidRPr="0050030C">
              <w:rPr>
                <w:color w:val="auto"/>
                <w:kern w:val="0"/>
                <w:szCs w:val="24"/>
                <w14:ligatures w14:val="none"/>
              </w:rPr>
              <w:t>Cord</w:t>
            </w:r>
            <w:proofErr w:type="spellEnd"/>
            <w:r w:rsidRPr="0050030C">
              <w:rPr>
                <w:color w:val="auto"/>
                <w:kern w:val="0"/>
                <w:szCs w:val="24"/>
                <w14:ligatures w14:val="none"/>
              </w:rPr>
              <w:t>,</w:t>
            </w:r>
            <w:r w:rsidR="000C1870">
              <w:rPr>
                <w:color w:val="auto"/>
                <w:kern w:val="0"/>
                <w:szCs w:val="24"/>
                <w14:ligatures w14:val="none"/>
              </w:rPr>
              <w:t xml:space="preserve"> </w:t>
            </w:r>
            <w:r w:rsidRPr="0050030C">
              <w:rPr>
                <w:color w:val="auto"/>
                <w:kern w:val="0"/>
                <w:szCs w:val="24"/>
                <w14:ligatures w14:val="none"/>
              </w:rPr>
              <w:t xml:space="preserve">2 </w:t>
            </w:r>
            <w:proofErr w:type="spellStart"/>
            <w:r w:rsidRPr="0050030C">
              <w:rPr>
                <w:color w:val="auto"/>
                <w:kern w:val="0"/>
                <w:szCs w:val="24"/>
                <w14:ligatures w14:val="none"/>
              </w:rPr>
              <w:t>Meter</w:t>
            </w:r>
            <w:proofErr w:type="spellEnd"/>
            <w:r w:rsidR="00D96BB4">
              <w:rPr>
                <w:color w:val="auto"/>
                <w:kern w:val="0"/>
                <w:szCs w:val="24"/>
                <w14:ligatures w14:val="none"/>
              </w:rPr>
              <w:t xml:space="preserve"> (C19-C20)</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F622BA4" w14:textId="69B9896E"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34310E84" w14:textId="08BDBD0A"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5968A2" w:rsidRPr="0050030C" w14:paraId="54CC5C37"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tcPr>
          <w:p w14:paraId="381AEDB0" w14:textId="4AE3DD49" w:rsidR="005968A2" w:rsidRPr="0050030C" w:rsidRDefault="005968A2" w:rsidP="00B051EB">
            <w:pPr>
              <w:ind w:left="0" w:firstLine="0"/>
              <w:jc w:val="left"/>
              <w:rPr>
                <w:b/>
                <w:bCs/>
                <w:szCs w:val="24"/>
              </w:rPr>
            </w:pPr>
            <w:r>
              <w:rPr>
                <w:b/>
                <w:bCs/>
                <w:szCs w:val="24"/>
              </w:rPr>
              <w:t>Jahutus</w:t>
            </w:r>
          </w:p>
        </w:tc>
        <w:tc>
          <w:tcPr>
            <w:tcW w:w="3929" w:type="dxa"/>
            <w:tcBorders>
              <w:top w:val="single" w:sz="4" w:space="0" w:color="auto"/>
              <w:left w:val="single" w:sz="4" w:space="0" w:color="auto"/>
              <w:bottom w:val="single" w:sz="4" w:space="0" w:color="auto"/>
              <w:right w:val="single" w:sz="4" w:space="0" w:color="auto"/>
            </w:tcBorders>
          </w:tcPr>
          <w:p w14:paraId="7C1D3939" w14:textId="5F0F7A22" w:rsidR="005968A2" w:rsidRDefault="005968A2" w:rsidP="00FD7D6D">
            <w:pPr>
              <w:spacing w:after="0" w:line="240" w:lineRule="auto"/>
              <w:ind w:left="0" w:firstLine="0"/>
              <w:jc w:val="left"/>
              <w:rPr>
                <w:color w:val="auto"/>
                <w:kern w:val="0"/>
                <w:szCs w:val="24"/>
                <w14:ligatures w14:val="none"/>
              </w:rPr>
            </w:pPr>
            <w:r>
              <w:rPr>
                <w:color w:val="auto"/>
                <w:kern w:val="0"/>
                <w:szCs w:val="24"/>
                <w14:ligatures w14:val="none"/>
              </w:rPr>
              <w:t xml:space="preserve">12 x </w:t>
            </w:r>
            <w:proofErr w:type="spellStart"/>
            <w:r>
              <w:rPr>
                <w:color w:val="auto"/>
                <w:kern w:val="0"/>
                <w:szCs w:val="24"/>
                <w14:ligatures w14:val="none"/>
              </w:rPr>
              <w:t>Hot</w:t>
            </w:r>
            <w:r w:rsidR="000C1870">
              <w:rPr>
                <w:color w:val="auto"/>
                <w:kern w:val="0"/>
                <w:szCs w:val="24"/>
                <w14:ligatures w14:val="none"/>
              </w:rPr>
              <w:t>-</w:t>
            </w:r>
            <w:r>
              <w:rPr>
                <w:color w:val="auto"/>
                <w:kern w:val="0"/>
                <w:szCs w:val="24"/>
                <w14:ligatures w14:val="none"/>
              </w:rPr>
              <w:t>Swap</w:t>
            </w:r>
            <w:proofErr w:type="spellEnd"/>
            <w:r>
              <w:rPr>
                <w:color w:val="auto"/>
                <w:kern w:val="0"/>
                <w:szCs w:val="24"/>
                <w14:ligatures w14:val="none"/>
              </w:rPr>
              <w:t xml:space="preserve"> </w:t>
            </w:r>
            <w:proofErr w:type="spellStart"/>
            <w:r>
              <w:rPr>
                <w:color w:val="auto"/>
                <w:kern w:val="0"/>
                <w:szCs w:val="24"/>
                <w14:ligatures w14:val="none"/>
              </w:rPr>
              <w:t>Fans</w:t>
            </w:r>
            <w:proofErr w:type="spellEnd"/>
          </w:p>
        </w:tc>
        <w:tc>
          <w:tcPr>
            <w:tcW w:w="1170" w:type="dxa"/>
            <w:tcBorders>
              <w:top w:val="single" w:sz="4" w:space="0" w:color="auto"/>
              <w:left w:val="single" w:sz="4" w:space="0" w:color="auto"/>
              <w:bottom w:val="single" w:sz="4" w:space="0" w:color="auto"/>
              <w:right w:val="single" w:sz="4" w:space="0" w:color="auto"/>
            </w:tcBorders>
            <w:noWrap/>
            <w:vAlign w:val="bottom"/>
          </w:tcPr>
          <w:p w14:paraId="08293A12" w14:textId="77777777" w:rsidR="005968A2" w:rsidRPr="0050030C" w:rsidRDefault="005968A2" w:rsidP="00FD7D6D">
            <w:pPr>
              <w:spacing w:after="0" w:line="240" w:lineRule="auto"/>
              <w:ind w:left="0" w:firstLine="0"/>
              <w:jc w:val="left"/>
              <w:rPr>
                <w:color w:val="auto"/>
                <w:kern w:val="0"/>
                <w:szCs w:val="24"/>
                <w14:ligatures w14:val="none"/>
              </w:rPr>
            </w:pPr>
          </w:p>
        </w:tc>
        <w:tc>
          <w:tcPr>
            <w:tcW w:w="3560" w:type="dxa"/>
            <w:tcBorders>
              <w:top w:val="single" w:sz="4" w:space="0" w:color="auto"/>
              <w:left w:val="single" w:sz="4" w:space="0" w:color="auto"/>
              <w:bottom w:val="single" w:sz="4" w:space="0" w:color="auto"/>
              <w:right w:val="single" w:sz="4" w:space="0" w:color="auto"/>
            </w:tcBorders>
            <w:noWrap/>
            <w:vAlign w:val="bottom"/>
          </w:tcPr>
          <w:p w14:paraId="30A5697B" w14:textId="77777777" w:rsidR="005968A2" w:rsidRPr="0050030C" w:rsidRDefault="005968A2" w:rsidP="00FD7D6D">
            <w:pPr>
              <w:spacing w:after="0" w:line="240" w:lineRule="auto"/>
              <w:ind w:left="0" w:firstLine="0"/>
              <w:jc w:val="left"/>
              <w:rPr>
                <w:color w:val="auto"/>
                <w:kern w:val="0"/>
                <w:szCs w:val="24"/>
                <w14:ligatures w14:val="none"/>
              </w:rPr>
            </w:pPr>
          </w:p>
        </w:tc>
      </w:tr>
      <w:tr w:rsidR="008F5BD7" w:rsidRPr="0050030C" w14:paraId="721B2733"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tcPr>
          <w:p w14:paraId="4989C5CC" w14:textId="3E2CA067" w:rsidR="008F5BD7" w:rsidRDefault="008F5BD7" w:rsidP="00B051EB">
            <w:pPr>
              <w:ind w:left="0" w:firstLine="0"/>
              <w:jc w:val="left"/>
              <w:rPr>
                <w:b/>
                <w:bCs/>
                <w:szCs w:val="24"/>
              </w:rPr>
            </w:pPr>
            <w:r>
              <w:rPr>
                <w:b/>
                <w:bCs/>
                <w:szCs w:val="24"/>
              </w:rPr>
              <w:t>Op. süsteem</w:t>
            </w:r>
          </w:p>
        </w:tc>
        <w:tc>
          <w:tcPr>
            <w:tcW w:w="3929" w:type="dxa"/>
            <w:tcBorders>
              <w:top w:val="single" w:sz="4" w:space="0" w:color="auto"/>
              <w:left w:val="single" w:sz="4" w:space="0" w:color="auto"/>
              <w:bottom w:val="single" w:sz="4" w:space="0" w:color="auto"/>
              <w:right w:val="single" w:sz="4" w:space="0" w:color="auto"/>
            </w:tcBorders>
          </w:tcPr>
          <w:p w14:paraId="457603EB" w14:textId="2237FB44" w:rsidR="008F5BD7" w:rsidRDefault="008F5BD7" w:rsidP="00FD7D6D">
            <w:pPr>
              <w:spacing w:after="0" w:line="240" w:lineRule="auto"/>
              <w:ind w:left="0" w:firstLine="0"/>
              <w:jc w:val="left"/>
              <w:rPr>
                <w:color w:val="auto"/>
                <w:kern w:val="0"/>
                <w:szCs w:val="24"/>
                <w14:ligatures w14:val="none"/>
              </w:rPr>
            </w:pPr>
            <w:r w:rsidRPr="008F5BD7">
              <w:rPr>
                <w:color w:val="auto"/>
                <w:kern w:val="0"/>
                <w:szCs w:val="24"/>
                <w14:ligatures w14:val="none"/>
              </w:rPr>
              <w:t xml:space="preserve">Red </w:t>
            </w:r>
            <w:proofErr w:type="spellStart"/>
            <w:r w:rsidRPr="008F5BD7">
              <w:rPr>
                <w:color w:val="auto"/>
                <w:kern w:val="0"/>
                <w:szCs w:val="24"/>
                <w14:ligatures w14:val="none"/>
              </w:rPr>
              <w:t>Hat</w:t>
            </w:r>
            <w:proofErr w:type="spellEnd"/>
            <w:r w:rsidRPr="008F5BD7">
              <w:rPr>
                <w:color w:val="auto"/>
                <w:kern w:val="0"/>
                <w:szCs w:val="24"/>
                <w14:ligatures w14:val="none"/>
              </w:rPr>
              <w:t xml:space="preserve"> </w:t>
            </w:r>
            <w:proofErr w:type="spellStart"/>
            <w:r w:rsidRPr="008F5BD7">
              <w:rPr>
                <w:color w:val="auto"/>
                <w:kern w:val="0"/>
                <w:szCs w:val="24"/>
                <w14:ligatures w14:val="none"/>
              </w:rPr>
              <w:t>Enterprise</w:t>
            </w:r>
            <w:proofErr w:type="spellEnd"/>
            <w:r w:rsidRPr="008F5BD7">
              <w:rPr>
                <w:color w:val="auto"/>
                <w:kern w:val="0"/>
                <w:szCs w:val="24"/>
                <w14:ligatures w14:val="none"/>
              </w:rPr>
              <w:t xml:space="preserve"> Linux Server, 1-2 CPU, 4 </w:t>
            </w:r>
            <w:proofErr w:type="spellStart"/>
            <w:r w:rsidRPr="008F5BD7">
              <w:rPr>
                <w:color w:val="auto"/>
                <w:kern w:val="0"/>
                <w:szCs w:val="24"/>
                <w14:ligatures w14:val="none"/>
              </w:rPr>
              <w:t>Guest</w:t>
            </w:r>
            <w:proofErr w:type="spellEnd"/>
            <w:r w:rsidRPr="008F5BD7">
              <w:rPr>
                <w:color w:val="auto"/>
                <w:kern w:val="0"/>
                <w:szCs w:val="24"/>
                <w14:ligatures w14:val="none"/>
              </w:rPr>
              <w:t xml:space="preserve">, 3 </w:t>
            </w:r>
            <w:proofErr w:type="spellStart"/>
            <w:r w:rsidRPr="008F5BD7">
              <w:rPr>
                <w:color w:val="auto"/>
                <w:kern w:val="0"/>
                <w:szCs w:val="24"/>
                <w14:ligatures w14:val="none"/>
              </w:rPr>
              <w:t>year</w:t>
            </w:r>
            <w:proofErr w:type="spellEnd"/>
            <w:r w:rsidRPr="008F5BD7">
              <w:rPr>
                <w:color w:val="auto"/>
                <w:kern w:val="0"/>
                <w:szCs w:val="24"/>
                <w14:ligatures w14:val="none"/>
              </w:rPr>
              <w:t xml:space="preserve"> Standard </w:t>
            </w:r>
            <w:proofErr w:type="spellStart"/>
            <w:r w:rsidRPr="008F5BD7">
              <w:rPr>
                <w:color w:val="auto"/>
                <w:kern w:val="0"/>
                <w:szCs w:val="24"/>
                <w14:ligatures w14:val="none"/>
              </w:rPr>
              <w:t>Support</w:t>
            </w:r>
            <w:proofErr w:type="spellEnd"/>
          </w:p>
        </w:tc>
        <w:tc>
          <w:tcPr>
            <w:tcW w:w="1170" w:type="dxa"/>
            <w:tcBorders>
              <w:top w:val="single" w:sz="4" w:space="0" w:color="auto"/>
              <w:left w:val="single" w:sz="4" w:space="0" w:color="auto"/>
              <w:bottom w:val="single" w:sz="4" w:space="0" w:color="auto"/>
              <w:right w:val="single" w:sz="4" w:space="0" w:color="auto"/>
            </w:tcBorders>
            <w:noWrap/>
            <w:vAlign w:val="bottom"/>
          </w:tcPr>
          <w:p w14:paraId="5B811BEC" w14:textId="77777777" w:rsidR="008F5BD7" w:rsidRPr="0050030C" w:rsidRDefault="008F5BD7" w:rsidP="00FD7D6D">
            <w:pPr>
              <w:spacing w:after="0" w:line="240" w:lineRule="auto"/>
              <w:ind w:left="0" w:firstLine="0"/>
              <w:jc w:val="left"/>
              <w:rPr>
                <w:color w:val="auto"/>
                <w:kern w:val="0"/>
                <w:szCs w:val="24"/>
                <w14:ligatures w14:val="none"/>
              </w:rPr>
            </w:pPr>
          </w:p>
        </w:tc>
        <w:tc>
          <w:tcPr>
            <w:tcW w:w="3560" w:type="dxa"/>
            <w:tcBorders>
              <w:top w:val="single" w:sz="4" w:space="0" w:color="auto"/>
              <w:left w:val="single" w:sz="4" w:space="0" w:color="auto"/>
              <w:bottom w:val="single" w:sz="4" w:space="0" w:color="auto"/>
              <w:right w:val="single" w:sz="4" w:space="0" w:color="auto"/>
            </w:tcBorders>
            <w:noWrap/>
            <w:vAlign w:val="bottom"/>
          </w:tcPr>
          <w:p w14:paraId="03190681" w14:textId="77777777" w:rsidR="008F5BD7" w:rsidRPr="0050030C" w:rsidRDefault="008F5BD7" w:rsidP="00FD7D6D">
            <w:pPr>
              <w:spacing w:after="0" w:line="240" w:lineRule="auto"/>
              <w:ind w:left="0" w:firstLine="0"/>
              <w:jc w:val="left"/>
              <w:rPr>
                <w:color w:val="auto"/>
                <w:kern w:val="0"/>
                <w:szCs w:val="24"/>
                <w14:ligatures w14:val="none"/>
              </w:rPr>
            </w:pPr>
          </w:p>
        </w:tc>
      </w:tr>
      <w:tr w:rsidR="00EA3B82" w:rsidRPr="0050030C" w14:paraId="30312961"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tcPr>
          <w:p w14:paraId="7C2555D4" w14:textId="625BE706" w:rsidR="00EA3B82" w:rsidRDefault="00EA3B82" w:rsidP="00B051EB">
            <w:pPr>
              <w:ind w:left="0" w:firstLine="0"/>
              <w:jc w:val="left"/>
              <w:rPr>
                <w:b/>
                <w:bCs/>
                <w:szCs w:val="24"/>
              </w:rPr>
            </w:pPr>
            <w:r>
              <w:rPr>
                <w:b/>
                <w:bCs/>
                <w:szCs w:val="24"/>
              </w:rPr>
              <w:t>Võrgukaabel</w:t>
            </w:r>
          </w:p>
        </w:tc>
        <w:tc>
          <w:tcPr>
            <w:tcW w:w="3929" w:type="dxa"/>
            <w:tcBorders>
              <w:top w:val="single" w:sz="4" w:space="0" w:color="auto"/>
              <w:left w:val="single" w:sz="4" w:space="0" w:color="auto"/>
              <w:bottom w:val="single" w:sz="4" w:space="0" w:color="auto"/>
              <w:right w:val="single" w:sz="4" w:space="0" w:color="auto"/>
            </w:tcBorders>
          </w:tcPr>
          <w:p w14:paraId="3F5A9057" w14:textId="58381611" w:rsidR="00EA3B82" w:rsidRPr="008F5BD7" w:rsidRDefault="00EA3B82" w:rsidP="00FD7D6D">
            <w:pPr>
              <w:spacing w:after="0" w:line="240" w:lineRule="auto"/>
              <w:ind w:left="0" w:firstLine="0"/>
              <w:jc w:val="left"/>
              <w:rPr>
                <w:color w:val="auto"/>
                <w:kern w:val="0"/>
                <w:szCs w:val="24"/>
                <w14:ligatures w14:val="none"/>
              </w:rPr>
            </w:pPr>
            <w:r>
              <w:rPr>
                <w:color w:val="auto"/>
                <w:kern w:val="0"/>
                <w:szCs w:val="24"/>
                <w14:ligatures w14:val="none"/>
              </w:rPr>
              <w:t xml:space="preserve">2 x </w:t>
            </w:r>
            <w:r w:rsidRPr="00EA3B82">
              <w:rPr>
                <w:color w:val="auto"/>
                <w:kern w:val="0"/>
                <w:szCs w:val="24"/>
                <w14:ligatures w14:val="none"/>
              </w:rPr>
              <w:t xml:space="preserve">5m (16ft) 100G QSFP28 </w:t>
            </w:r>
            <w:proofErr w:type="spellStart"/>
            <w:r w:rsidRPr="00EA3B82">
              <w:rPr>
                <w:color w:val="auto"/>
                <w:kern w:val="0"/>
                <w:szCs w:val="24"/>
                <w14:ligatures w14:val="none"/>
              </w:rPr>
              <w:t>Passive</w:t>
            </w:r>
            <w:proofErr w:type="spellEnd"/>
            <w:r w:rsidRPr="00EA3B82">
              <w:rPr>
                <w:color w:val="auto"/>
                <w:kern w:val="0"/>
                <w:szCs w:val="24"/>
                <w14:ligatures w14:val="none"/>
              </w:rPr>
              <w:t xml:space="preserve"> </w:t>
            </w:r>
            <w:proofErr w:type="spellStart"/>
            <w:r w:rsidRPr="00EA3B82">
              <w:rPr>
                <w:color w:val="auto"/>
                <w:kern w:val="0"/>
                <w:szCs w:val="24"/>
                <w14:ligatures w14:val="none"/>
              </w:rPr>
              <w:t>Direct</w:t>
            </w:r>
            <w:proofErr w:type="spellEnd"/>
            <w:r w:rsidRPr="00EA3B82">
              <w:rPr>
                <w:color w:val="auto"/>
                <w:kern w:val="0"/>
                <w:szCs w:val="24"/>
                <w14:ligatures w14:val="none"/>
              </w:rPr>
              <w:t xml:space="preserve"> </w:t>
            </w:r>
            <w:proofErr w:type="spellStart"/>
            <w:r w:rsidRPr="00EA3B82">
              <w:rPr>
                <w:color w:val="auto"/>
                <w:kern w:val="0"/>
                <w:szCs w:val="24"/>
                <w14:ligatures w14:val="none"/>
              </w:rPr>
              <w:t>Attach</w:t>
            </w:r>
            <w:proofErr w:type="spellEnd"/>
            <w:r w:rsidRPr="00EA3B82">
              <w:rPr>
                <w:color w:val="auto"/>
                <w:kern w:val="0"/>
                <w:szCs w:val="24"/>
                <w14:ligatures w14:val="none"/>
              </w:rPr>
              <w:t xml:space="preserve"> Copper </w:t>
            </w:r>
            <w:proofErr w:type="spellStart"/>
            <w:r w:rsidRPr="00EA3B82">
              <w:rPr>
                <w:color w:val="auto"/>
                <w:kern w:val="0"/>
                <w:szCs w:val="24"/>
                <w14:ligatures w14:val="none"/>
              </w:rPr>
              <w:t>Twinax</w:t>
            </w:r>
            <w:proofErr w:type="spellEnd"/>
            <w:r w:rsidRPr="00EA3B82">
              <w:rPr>
                <w:color w:val="auto"/>
                <w:kern w:val="0"/>
                <w:szCs w:val="24"/>
                <w14:ligatures w14:val="none"/>
              </w:rPr>
              <w:t xml:space="preserve"> </w:t>
            </w:r>
            <w:proofErr w:type="spellStart"/>
            <w:r w:rsidRPr="00EA3B82">
              <w:rPr>
                <w:color w:val="auto"/>
                <w:kern w:val="0"/>
                <w:szCs w:val="24"/>
                <w14:ligatures w14:val="none"/>
              </w:rPr>
              <w:t>Cable</w:t>
            </w:r>
            <w:proofErr w:type="spellEnd"/>
            <w:r w:rsidRPr="00EA3B82">
              <w:rPr>
                <w:color w:val="auto"/>
                <w:kern w:val="0"/>
                <w:szCs w:val="24"/>
                <w14:ligatures w14:val="none"/>
              </w:rPr>
              <w:t xml:space="preserve"> </w:t>
            </w:r>
            <w:proofErr w:type="spellStart"/>
            <w:r w:rsidRPr="00EA3B82">
              <w:rPr>
                <w:color w:val="auto"/>
                <w:kern w:val="0"/>
                <w:szCs w:val="24"/>
                <w14:ligatures w14:val="none"/>
              </w:rPr>
              <w:t>for</w:t>
            </w:r>
            <w:proofErr w:type="spellEnd"/>
            <w:r w:rsidRPr="00EA3B82">
              <w:rPr>
                <w:color w:val="auto"/>
                <w:kern w:val="0"/>
                <w:szCs w:val="24"/>
                <w14:ligatures w14:val="none"/>
              </w:rPr>
              <w:t xml:space="preserve"> FS </w:t>
            </w:r>
            <w:proofErr w:type="spellStart"/>
            <w:r w:rsidRPr="00EA3B82">
              <w:rPr>
                <w:color w:val="auto"/>
                <w:kern w:val="0"/>
                <w:szCs w:val="24"/>
                <w14:ligatures w14:val="none"/>
              </w:rPr>
              <w:t>Switches</w:t>
            </w:r>
            <w:proofErr w:type="spellEnd"/>
          </w:p>
        </w:tc>
        <w:tc>
          <w:tcPr>
            <w:tcW w:w="1170" w:type="dxa"/>
            <w:tcBorders>
              <w:top w:val="single" w:sz="4" w:space="0" w:color="auto"/>
              <w:left w:val="single" w:sz="4" w:space="0" w:color="auto"/>
              <w:bottom w:val="single" w:sz="4" w:space="0" w:color="auto"/>
              <w:right w:val="single" w:sz="4" w:space="0" w:color="auto"/>
            </w:tcBorders>
            <w:noWrap/>
            <w:vAlign w:val="bottom"/>
          </w:tcPr>
          <w:p w14:paraId="106029DB" w14:textId="77777777" w:rsidR="00EA3B82" w:rsidRPr="0050030C" w:rsidRDefault="00EA3B82" w:rsidP="00FD7D6D">
            <w:pPr>
              <w:spacing w:after="0" w:line="240" w:lineRule="auto"/>
              <w:ind w:left="0" w:firstLine="0"/>
              <w:jc w:val="left"/>
              <w:rPr>
                <w:color w:val="auto"/>
                <w:kern w:val="0"/>
                <w:szCs w:val="24"/>
                <w14:ligatures w14:val="none"/>
              </w:rPr>
            </w:pPr>
          </w:p>
        </w:tc>
        <w:tc>
          <w:tcPr>
            <w:tcW w:w="3560" w:type="dxa"/>
            <w:tcBorders>
              <w:top w:val="single" w:sz="4" w:space="0" w:color="auto"/>
              <w:left w:val="single" w:sz="4" w:space="0" w:color="auto"/>
              <w:bottom w:val="single" w:sz="4" w:space="0" w:color="auto"/>
              <w:right w:val="single" w:sz="4" w:space="0" w:color="auto"/>
            </w:tcBorders>
            <w:noWrap/>
            <w:vAlign w:val="bottom"/>
          </w:tcPr>
          <w:p w14:paraId="54327EA4" w14:textId="77777777" w:rsidR="00EA3B82" w:rsidRPr="0050030C" w:rsidRDefault="00EA3B82" w:rsidP="00FD7D6D">
            <w:pPr>
              <w:spacing w:after="0" w:line="240" w:lineRule="auto"/>
              <w:ind w:left="0" w:firstLine="0"/>
              <w:jc w:val="left"/>
              <w:rPr>
                <w:color w:val="auto"/>
                <w:kern w:val="0"/>
                <w:szCs w:val="24"/>
                <w14:ligatures w14:val="none"/>
              </w:rPr>
            </w:pPr>
          </w:p>
        </w:tc>
      </w:tr>
      <w:tr w:rsidR="00E93D3B" w:rsidRPr="0050030C" w14:paraId="4C90332B" w14:textId="77777777" w:rsidTr="009D3C91">
        <w:trPr>
          <w:trHeight w:val="141"/>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710AE0D2" w14:textId="28E42C9C" w:rsidR="00E93D3B" w:rsidRPr="0050030C" w:rsidRDefault="00E93D3B" w:rsidP="00E93D3B">
            <w:pPr>
              <w:ind w:left="0" w:firstLine="0"/>
              <w:jc w:val="left"/>
              <w:rPr>
                <w:b/>
                <w:bCs/>
                <w:szCs w:val="24"/>
              </w:rPr>
            </w:pPr>
            <w:proofErr w:type="spellStart"/>
            <w:r w:rsidRPr="0050030C">
              <w:rPr>
                <w:b/>
                <w:bCs/>
                <w:szCs w:val="24"/>
              </w:rPr>
              <w:t>OoB</w:t>
            </w:r>
            <w:proofErr w:type="spellEnd"/>
          </w:p>
        </w:tc>
        <w:tc>
          <w:tcPr>
            <w:tcW w:w="3929" w:type="dxa"/>
            <w:tcBorders>
              <w:top w:val="single" w:sz="4" w:space="0" w:color="auto"/>
              <w:left w:val="single" w:sz="4" w:space="0" w:color="auto"/>
              <w:bottom w:val="single" w:sz="4" w:space="0" w:color="auto"/>
              <w:right w:val="single" w:sz="4" w:space="0" w:color="auto"/>
            </w:tcBorders>
            <w:hideMark/>
          </w:tcPr>
          <w:p w14:paraId="495FD75E" w14:textId="70898730" w:rsidR="00E93D3B" w:rsidRPr="0050030C" w:rsidRDefault="00E93D3B" w:rsidP="00E93D3B">
            <w:pPr>
              <w:spacing w:after="0" w:line="240" w:lineRule="auto"/>
              <w:ind w:left="0" w:firstLine="0"/>
              <w:jc w:val="left"/>
              <w:rPr>
                <w:color w:val="auto"/>
                <w:kern w:val="0"/>
                <w:szCs w:val="24"/>
                <w14:ligatures w14:val="none"/>
              </w:rPr>
            </w:pPr>
            <w:r w:rsidRPr="0050030C">
              <w:rPr>
                <w:color w:val="auto"/>
                <w:kern w:val="0"/>
                <w:szCs w:val="24"/>
                <w14:ligatures w14:val="none"/>
              </w:rPr>
              <w:t xml:space="preserve">Serveri </w:t>
            </w:r>
            <w:proofErr w:type="spellStart"/>
            <w:r w:rsidRPr="0050030C">
              <w:rPr>
                <w:color w:val="auto"/>
                <w:kern w:val="0"/>
                <w:szCs w:val="24"/>
                <w14:ligatures w14:val="none"/>
              </w:rPr>
              <w:t>kaughaldus</w:t>
            </w:r>
            <w:proofErr w:type="spellEnd"/>
            <w:r w:rsidRPr="0050030C">
              <w:rPr>
                <w:color w:val="auto"/>
                <w:kern w:val="0"/>
                <w:szCs w:val="24"/>
                <w14:ligatures w14:val="none"/>
              </w:rPr>
              <w:t xml:space="preserve"> (</w:t>
            </w:r>
            <w:proofErr w:type="spellStart"/>
            <w:r w:rsidRPr="0050030C">
              <w:rPr>
                <w:color w:val="auto"/>
                <w:kern w:val="0"/>
                <w:szCs w:val="24"/>
                <w14:ligatures w14:val="none"/>
              </w:rPr>
              <w:t>Out</w:t>
            </w:r>
            <w:proofErr w:type="spellEnd"/>
            <w:r w:rsidRPr="0050030C">
              <w:rPr>
                <w:color w:val="auto"/>
                <w:kern w:val="0"/>
                <w:szCs w:val="24"/>
                <w14:ligatures w14:val="none"/>
              </w:rPr>
              <w:t>-of-</w:t>
            </w:r>
            <w:proofErr w:type="spellStart"/>
            <w:r w:rsidRPr="0050030C">
              <w:rPr>
                <w:color w:val="auto"/>
                <w:kern w:val="0"/>
                <w:szCs w:val="24"/>
                <w14:ligatures w14:val="none"/>
              </w:rPr>
              <w:t>Band</w:t>
            </w:r>
            <w:proofErr w:type="spellEnd"/>
            <w:r w:rsidRPr="0050030C">
              <w:rPr>
                <w:color w:val="auto"/>
                <w:kern w:val="0"/>
                <w:szCs w:val="24"/>
                <w14:ligatures w14:val="none"/>
              </w:rPr>
              <w:t xml:space="preserve"> Management) eraldi haldusliidesega (RJ45)</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CD60D62" w14:textId="0AC1AF97" w:rsidR="00E93D3B" w:rsidRPr="0050030C" w:rsidRDefault="00E93D3B" w:rsidP="00E93D3B">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3ACC5972" w14:textId="38B4C225" w:rsidR="00E93D3B" w:rsidRPr="0050030C" w:rsidRDefault="00E93D3B" w:rsidP="00E93D3B">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1B254A84" w14:textId="77777777" w:rsidTr="009D3C91">
        <w:trPr>
          <w:trHeight w:val="282"/>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5307E0C5" w14:textId="604CDCF6" w:rsidR="00972DF9" w:rsidRPr="0050030C" w:rsidRDefault="00972DF9" w:rsidP="00B051EB">
            <w:pPr>
              <w:ind w:left="0" w:firstLine="0"/>
              <w:jc w:val="left"/>
              <w:rPr>
                <w:b/>
                <w:bCs/>
                <w:szCs w:val="24"/>
              </w:rPr>
            </w:pPr>
            <w:r w:rsidRPr="0050030C">
              <w:rPr>
                <w:b/>
                <w:bCs/>
                <w:szCs w:val="24"/>
              </w:rPr>
              <w:t>Keskne haldus</w:t>
            </w:r>
          </w:p>
        </w:tc>
        <w:tc>
          <w:tcPr>
            <w:tcW w:w="3929" w:type="dxa"/>
            <w:tcBorders>
              <w:top w:val="single" w:sz="4" w:space="0" w:color="auto"/>
              <w:left w:val="single" w:sz="4" w:space="0" w:color="auto"/>
              <w:bottom w:val="single" w:sz="4" w:space="0" w:color="auto"/>
              <w:right w:val="single" w:sz="4" w:space="0" w:color="auto"/>
            </w:tcBorders>
            <w:hideMark/>
          </w:tcPr>
          <w:p w14:paraId="7046D1D6" w14:textId="7BC60241"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xml:space="preserve">Serverite </w:t>
            </w:r>
            <w:proofErr w:type="spellStart"/>
            <w:r w:rsidRPr="0050030C">
              <w:rPr>
                <w:color w:val="auto"/>
                <w:kern w:val="0"/>
                <w:szCs w:val="24"/>
                <w14:ligatures w14:val="none"/>
              </w:rPr>
              <w:t>kaughaldus</w:t>
            </w:r>
            <w:proofErr w:type="spellEnd"/>
            <w:r w:rsidRPr="0050030C">
              <w:rPr>
                <w:color w:val="auto"/>
                <w:kern w:val="0"/>
                <w:szCs w:val="24"/>
                <w14:ligatures w14:val="none"/>
              </w:rPr>
              <w:t xml:space="preserve"> peab olema teostatud läbi keskse haldussüsteemi</w:t>
            </w:r>
            <w:r w:rsidR="00FF0012">
              <w:rPr>
                <w:color w:val="auto"/>
                <w:kern w:val="0"/>
                <w:szCs w:val="24"/>
                <w14:ligatures w14:val="none"/>
              </w:rPr>
              <w:t>,</w:t>
            </w:r>
            <w:r w:rsidRPr="0050030C">
              <w:rPr>
                <w:color w:val="auto"/>
                <w:kern w:val="0"/>
                <w:szCs w:val="24"/>
                <w14:ligatures w14:val="none"/>
              </w:rPr>
              <w:t xml:space="preserve"> mis võimaldab </w:t>
            </w:r>
            <w:proofErr w:type="spellStart"/>
            <w:r w:rsidRPr="0050030C">
              <w:rPr>
                <w:color w:val="auto"/>
                <w:kern w:val="0"/>
                <w:szCs w:val="24"/>
                <w14:ligatures w14:val="none"/>
              </w:rPr>
              <w:t>monitoorida</w:t>
            </w:r>
            <w:proofErr w:type="spellEnd"/>
            <w:r w:rsidRPr="0050030C">
              <w:rPr>
                <w:color w:val="auto"/>
                <w:kern w:val="0"/>
                <w:szCs w:val="24"/>
                <w14:ligatures w14:val="none"/>
              </w:rPr>
              <w:t xml:space="preserve"> hangitava</w:t>
            </w:r>
            <w:r w:rsidR="00FF0012">
              <w:rPr>
                <w:color w:val="auto"/>
                <w:kern w:val="0"/>
                <w:szCs w:val="24"/>
                <w14:ligatures w14:val="none"/>
              </w:rPr>
              <w:t>t</w:t>
            </w:r>
            <w:r w:rsidRPr="0050030C">
              <w:rPr>
                <w:color w:val="auto"/>
                <w:kern w:val="0"/>
                <w:szCs w:val="24"/>
                <w14:ligatures w14:val="none"/>
              </w:rPr>
              <w:t xml:space="preserve"> server</w:t>
            </w:r>
            <w:r w:rsidR="00FF0012">
              <w:rPr>
                <w:color w:val="auto"/>
                <w:kern w:val="0"/>
                <w:szCs w:val="24"/>
                <w14:ligatures w14:val="none"/>
              </w:rPr>
              <w:t>it</w:t>
            </w:r>
            <w:r w:rsidRPr="0050030C">
              <w:rPr>
                <w:color w:val="auto"/>
                <w:kern w:val="0"/>
                <w:szCs w:val="24"/>
                <w14:ligatures w14:val="none"/>
              </w:rPr>
              <w:t xml:space="preserve"> ja seadistada serverite parameetreid korraga. Serverite keskne haldussüsteem on </w:t>
            </w:r>
            <w:proofErr w:type="spellStart"/>
            <w:r w:rsidRPr="0050030C">
              <w:rPr>
                <w:color w:val="auto"/>
                <w:kern w:val="0"/>
                <w:szCs w:val="24"/>
                <w14:ligatures w14:val="none"/>
              </w:rPr>
              <w:t>liidestatav</w:t>
            </w:r>
            <w:proofErr w:type="spellEnd"/>
            <w:r w:rsidRPr="0050030C">
              <w:rPr>
                <w:color w:val="auto"/>
                <w:kern w:val="0"/>
                <w:szCs w:val="24"/>
                <w14:ligatures w14:val="none"/>
              </w:rPr>
              <w:t xml:space="preserve"> kasutajate halduseks </w:t>
            </w:r>
            <w:proofErr w:type="spellStart"/>
            <w:r w:rsidRPr="0050030C">
              <w:rPr>
                <w:color w:val="auto"/>
                <w:kern w:val="0"/>
                <w:szCs w:val="24"/>
                <w14:ligatures w14:val="none"/>
              </w:rPr>
              <w:t>AD-ga</w:t>
            </w:r>
            <w:proofErr w:type="spellEnd"/>
            <w:r w:rsidRPr="0050030C">
              <w:rPr>
                <w:color w:val="auto"/>
                <w:kern w:val="0"/>
                <w:szCs w:val="24"/>
                <w14:ligatures w14:val="none"/>
              </w:rPr>
              <w:t xml:space="preserve"> (</w:t>
            </w:r>
            <w:proofErr w:type="spellStart"/>
            <w:r w:rsidRPr="0050030C">
              <w:rPr>
                <w:color w:val="auto"/>
                <w:kern w:val="0"/>
                <w:szCs w:val="24"/>
                <w14:ligatures w14:val="none"/>
              </w:rPr>
              <w:t>active</w:t>
            </w:r>
            <w:proofErr w:type="spellEnd"/>
            <w:r w:rsidRPr="0050030C">
              <w:rPr>
                <w:color w:val="auto"/>
                <w:kern w:val="0"/>
                <w:szCs w:val="24"/>
                <w14:ligatures w14:val="none"/>
              </w:rPr>
              <w:t xml:space="preserve"> </w:t>
            </w:r>
            <w:proofErr w:type="spellStart"/>
            <w:r w:rsidRPr="0050030C">
              <w:rPr>
                <w:color w:val="auto"/>
                <w:kern w:val="0"/>
                <w:szCs w:val="24"/>
                <w14:ligatures w14:val="none"/>
              </w:rPr>
              <w:t>directory</w:t>
            </w:r>
            <w:proofErr w:type="spellEnd"/>
            <w:r w:rsidRPr="0050030C">
              <w:rPr>
                <w:color w:val="auto"/>
                <w:kern w:val="0"/>
                <w:szCs w:val="24"/>
                <w14:ligatures w14:val="none"/>
              </w:rPr>
              <w:t>). Litsents kesksele haldussüsteemile (kui vajalik).</w:t>
            </w:r>
            <w:r w:rsidR="007701C7" w:rsidRPr="0050030C">
              <w:rPr>
                <w:color w:val="auto"/>
                <w:kern w:val="0"/>
                <w:szCs w:val="24"/>
                <w14:ligatures w14:val="none"/>
              </w:rPr>
              <w:t xml:space="preserve"> Pakutav server pea</w:t>
            </w:r>
            <w:r w:rsidR="007701C7">
              <w:rPr>
                <w:color w:val="auto"/>
                <w:kern w:val="0"/>
                <w:szCs w:val="24"/>
                <w14:ligatures w14:val="none"/>
              </w:rPr>
              <w:t>b</w:t>
            </w:r>
            <w:r w:rsidR="007701C7" w:rsidRPr="0050030C">
              <w:rPr>
                <w:color w:val="auto"/>
                <w:kern w:val="0"/>
                <w:szCs w:val="24"/>
                <w14:ligatures w14:val="none"/>
              </w:rPr>
              <w:t xml:space="preserve"> ametlikult ühilduma hankija keskkonnas kasutatava keskse haldussüsteemiga (</w:t>
            </w:r>
            <w:proofErr w:type="spellStart"/>
            <w:r w:rsidR="007701C7" w:rsidRPr="007701C7">
              <w:rPr>
                <w:color w:val="auto"/>
                <w:kern w:val="0"/>
                <w:szCs w:val="24"/>
                <w14:ligatures w14:val="none"/>
              </w:rPr>
              <w:t>Supermicro</w:t>
            </w:r>
            <w:proofErr w:type="spellEnd"/>
            <w:r w:rsidR="007701C7" w:rsidRPr="007701C7">
              <w:rPr>
                <w:color w:val="auto"/>
                <w:kern w:val="0"/>
                <w:szCs w:val="24"/>
                <w14:ligatures w14:val="none"/>
              </w:rPr>
              <w:t xml:space="preserve"> Server Manager (SSM)</w:t>
            </w:r>
            <w:r w:rsidR="007701C7" w:rsidRPr="0050030C">
              <w:rPr>
                <w:color w:val="auto"/>
                <w:kern w:val="0"/>
                <w:szCs w:val="24"/>
                <w14:ligatures w14:val="none"/>
              </w:rPr>
              <w:t>).</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67ECEAA3" w14:textId="5AEB8554"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single" w:sz="4" w:space="0" w:color="auto"/>
              <w:bottom w:val="single" w:sz="4" w:space="0" w:color="auto"/>
              <w:right w:val="single" w:sz="4" w:space="0" w:color="auto"/>
            </w:tcBorders>
            <w:noWrap/>
            <w:vAlign w:val="bottom"/>
            <w:hideMark/>
          </w:tcPr>
          <w:p w14:paraId="06F25EA3" w14:textId="3D19A36F"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4A2D834F" w14:textId="77777777" w:rsidTr="00E91996">
        <w:trPr>
          <w:trHeight w:val="710"/>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00A85F62" w14:textId="55F742F8" w:rsidR="00972DF9" w:rsidRPr="0050030C" w:rsidRDefault="00972DF9" w:rsidP="00B051EB">
            <w:pPr>
              <w:ind w:left="0" w:firstLine="0"/>
              <w:jc w:val="left"/>
              <w:rPr>
                <w:b/>
                <w:bCs/>
                <w:szCs w:val="24"/>
              </w:rPr>
            </w:pPr>
            <w:r w:rsidRPr="0050030C">
              <w:rPr>
                <w:b/>
                <w:bCs/>
                <w:szCs w:val="24"/>
              </w:rPr>
              <w:t>Tugi</w:t>
            </w:r>
          </w:p>
        </w:tc>
        <w:tc>
          <w:tcPr>
            <w:tcW w:w="3929" w:type="dxa"/>
            <w:tcBorders>
              <w:top w:val="single" w:sz="4" w:space="0" w:color="auto"/>
              <w:left w:val="nil"/>
              <w:bottom w:val="single" w:sz="4" w:space="0" w:color="auto"/>
              <w:right w:val="single" w:sz="4" w:space="0" w:color="auto"/>
            </w:tcBorders>
            <w:hideMark/>
          </w:tcPr>
          <w:p w14:paraId="565FD345" w14:textId="0BC0122D"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Tootetugi</w:t>
            </w:r>
            <w:r w:rsidR="00AC02EE">
              <w:rPr>
                <w:color w:val="auto"/>
                <w:kern w:val="0"/>
                <w:szCs w:val="24"/>
                <w14:ligatures w14:val="none"/>
              </w:rPr>
              <w:t>,</w:t>
            </w:r>
            <w:r w:rsidRPr="0050030C">
              <w:rPr>
                <w:color w:val="auto"/>
                <w:kern w:val="0"/>
                <w:szCs w:val="24"/>
                <w14:ligatures w14:val="none"/>
              </w:rPr>
              <w:t xml:space="preserve"> raamlepingus toodud tingimustel </w:t>
            </w:r>
            <w:r w:rsidR="00AC02EE">
              <w:rPr>
                <w:color w:val="auto"/>
                <w:kern w:val="0"/>
                <w:szCs w:val="24"/>
                <w14:ligatures w14:val="none"/>
              </w:rPr>
              <w:t>36</w:t>
            </w:r>
            <w:r>
              <w:rPr>
                <w:color w:val="auto"/>
                <w:kern w:val="0"/>
                <w:szCs w:val="24"/>
                <w14:ligatures w14:val="none"/>
              </w:rPr>
              <w:t xml:space="preserve"> kuuline</w:t>
            </w:r>
            <w:r w:rsidRPr="0050030C">
              <w:rPr>
                <w:color w:val="auto"/>
                <w:kern w:val="0"/>
                <w:szCs w:val="24"/>
                <w14:ligatures w14:val="none"/>
              </w:rPr>
              <w:t xml:space="preserve"> tootetugi riknenud komponentidele reageerimisega hiljemalt järgmisel tööpäeval. Riknenud kõvaketaste </w:t>
            </w:r>
            <w:r w:rsidR="000C1870">
              <w:rPr>
                <w:color w:val="auto"/>
                <w:kern w:val="0"/>
                <w:szCs w:val="24"/>
                <w14:ligatures w14:val="none"/>
              </w:rPr>
              <w:t xml:space="preserve">ja mälude </w:t>
            </w:r>
            <w:r w:rsidRPr="0050030C">
              <w:rPr>
                <w:color w:val="auto"/>
                <w:kern w:val="0"/>
                <w:szCs w:val="24"/>
                <w14:ligatures w14:val="none"/>
              </w:rPr>
              <w:t>tagastamine ei ole kohustuslik.</w:t>
            </w:r>
          </w:p>
        </w:tc>
        <w:tc>
          <w:tcPr>
            <w:tcW w:w="1170" w:type="dxa"/>
            <w:tcBorders>
              <w:top w:val="single" w:sz="4" w:space="0" w:color="auto"/>
              <w:left w:val="nil"/>
              <w:bottom w:val="single" w:sz="4" w:space="0" w:color="auto"/>
              <w:right w:val="single" w:sz="4" w:space="0" w:color="auto"/>
            </w:tcBorders>
            <w:noWrap/>
            <w:vAlign w:val="bottom"/>
            <w:hideMark/>
          </w:tcPr>
          <w:p w14:paraId="3538DF67" w14:textId="4874F157"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c>
          <w:tcPr>
            <w:tcW w:w="3560" w:type="dxa"/>
            <w:tcBorders>
              <w:top w:val="single" w:sz="4" w:space="0" w:color="auto"/>
              <w:left w:val="nil"/>
              <w:bottom w:val="single" w:sz="4" w:space="0" w:color="auto"/>
              <w:right w:val="single" w:sz="4" w:space="0" w:color="auto"/>
            </w:tcBorders>
            <w:noWrap/>
            <w:vAlign w:val="bottom"/>
            <w:hideMark/>
          </w:tcPr>
          <w:p w14:paraId="61DF2F7C" w14:textId="56A1B84E" w:rsidR="00972DF9" w:rsidRPr="0050030C" w:rsidRDefault="00972DF9" w:rsidP="00FD7D6D">
            <w:pPr>
              <w:spacing w:after="0" w:line="240" w:lineRule="auto"/>
              <w:ind w:left="0" w:firstLine="0"/>
              <w:jc w:val="left"/>
              <w:rPr>
                <w:color w:val="auto"/>
                <w:kern w:val="0"/>
                <w:szCs w:val="24"/>
                <w14:ligatures w14:val="none"/>
              </w:rPr>
            </w:pPr>
            <w:r w:rsidRPr="0050030C">
              <w:rPr>
                <w:color w:val="auto"/>
                <w:kern w:val="0"/>
                <w:szCs w:val="24"/>
                <w14:ligatures w14:val="none"/>
              </w:rPr>
              <w:t> </w:t>
            </w:r>
          </w:p>
        </w:tc>
      </w:tr>
      <w:tr w:rsidR="00972DF9" w:rsidRPr="0050030C" w14:paraId="4ED07C6D" w14:textId="77777777" w:rsidTr="005B5A5E">
        <w:trPr>
          <w:trHeight w:val="141"/>
        </w:trPr>
        <w:tc>
          <w:tcPr>
            <w:tcW w:w="10395" w:type="dxa"/>
            <w:gridSpan w:val="4"/>
            <w:tcBorders>
              <w:top w:val="nil"/>
              <w:left w:val="single" w:sz="4" w:space="0" w:color="auto"/>
              <w:bottom w:val="single" w:sz="4" w:space="0" w:color="auto"/>
              <w:right w:val="single" w:sz="4" w:space="0" w:color="auto"/>
            </w:tcBorders>
            <w:noWrap/>
            <w:vAlign w:val="bottom"/>
          </w:tcPr>
          <w:p w14:paraId="221305C1" w14:textId="219ACA79" w:rsidR="00972DF9" w:rsidRPr="0050030C" w:rsidRDefault="00972DF9" w:rsidP="00995986">
            <w:pPr>
              <w:spacing w:after="0" w:line="240" w:lineRule="auto"/>
              <w:ind w:left="0" w:firstLine="0"/>
              <w:jc w:val="left"/>
              <w:rPr>
                <w:b/>
                <w:bCs/>
                <w:i/>
                <w:iCs/>
                <w:color w:val="auto"/>
                <w:kern w:val="0"/>
                <w:sz w:val="22"/>
                <w14:ligatures w14:val="none"/>
              </w:rPr>
            </w:pPr>
          </w:p>
        </w:tc>
      </w:tr>
    </w:tbl>
    <w:p w14:paraId="341DADF7" w14:textId="2F45CCAB" w:rsidR="00323F4E" w:rsidRPr="0050030C" w:rsidRDefault="00323F4E" w:rsidP="00A554F4">
      <w:pPr>
        <w:pStyle w:val="Default"/>
        <w:jc w:val="both"/>
        <w:rPr>
          <w:rFonts w:ascii="Times New Roman" w:hAnsi="Times New Roman" w:cs="Times New Roman"/>
          <w:b/>
          <w:bCs/>
          <w:color w:val="auto"/>
        </w:rPr>
      </w:pPr>
    </w:p>
    <w:p w14:paraId="544655AE" w14:textId="77777777" w:rsidR="00C43876" w:rsidRPr="0050030C" w:rsidRDefault="00C43876" w:rsidP="0050030C">
      <w:pPr>
        <w:pStyle w:val="Default"/>
        <w:rPr>
          <w:rFonts w:ascii="Times New Roman" w:hAnsi="Times New Roman" w:cs="Times New Roman"/>
          <w:color w:val="auto"/>
        </w:rPr>
      </w:pPr>
    </w:p>
    <w:p w14:paraId="5BCFC2D2" w14:textId="305368EA" w:rsidR="00C43876" w:rsidRPr="0001018E" w:rsidRDefault="00C43876" w:rsidP="00B8758B">
      <w:pPr>
        <w:pStyle w:val="ListParagraph"/>
        <w:numPr>
          <w:ilvl w:val="0"/>
          <w:numId w:val="6"/>
        </w:numPr>
        <w:spacing w:after="160" w:line="276" w:lineRule="auto"/>
        <w:ind w:left="284" w:hanging="284"/>
        <w:contextualSpacing/>
        <w:jc w:val="both"/>
        <w:rPr>
          <w:rFonts w:ascii="Times New Roman" w:hAnsi="Times New Roman" w:cs="Times New Roman"/>
          <w:b/>
        </w:rPr>
      </w:pPr>
      <w:r w:rsidRPr="0001018E">
        <w:rPr>
          <w:rFonts w:ascii="Times New Roman" w:hAnsi="Times New Roman" w:cs="Times New Roman"/>
          <w:b/>
        </w:rPr>
        <w:t xml:space="preserve">Tootetugi serverile </w:t>
      </w:r>
    </w:p>
    <w:p w14:paraId="4C71E946" w14:textId="736E0F0B" w:rsidR="00C43876" w:rsidRPr="0050030C" w:rsidRDefault="00C43876"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 xml:space="preserve">tootetoe osutamise alguseks loetakse seadme tellija poolt vastuvõtmisele järgnevat kalendripäeva; </w:t>
      </w:r>
    </w:p>
    <w:p w14:paraId="11647F2F" w14:textId="0B68670C" w:rsidR="00C43876" w:rsidRPr="009B0835" w:rsidRDefault="00C43876" w:rsidP="009B0835">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 xml:space="preserve">eesti- või ingliskeelne tugi telefoni ja e-posti teel. Vastava veebikeskkonna olemasolul, kohustub täitja lepingu aktiveerimise hetkeks tagama tellijale ligipääsu vastavale veebikeskkonnale kogu lepingu kehtivuse perioodiks. Täitja edastab tellijale ligipääsuks vajalikud andmed (kasutajatunnus, parool vms); </w:t>
      </w:r>
    </w:p>
    <w:p w14:paraId="576FD629" w14:textId="27CE74CC" w:rsidR="00C43876" w:rsidRPr="0050030C" w:rsidRDefault="006E560B"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tarkvarauuendused ja veaparandused</w:t>
      </w:r>
      <w:r w:rsidR="00C43876" w:rsidRPr="0050030C">
        <w:rPr>
          <w:rFonts w:ascii="Times New Roman" w:hAnsi="Times New Roman" w:cs="Times New Roman"/>
        </w:rPr>
        <w:t xml:space="preserve">; </w:t>
      </w:r>
    </w:p>
    <w:p w14:paraId="7877C38D" w14:textId="00400F82" w:rsidR="00C43876" w:rsidRPr="0050030C" w:rsidRDefault="00C43876"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 xml:space="preserve">tehniline tugi telefoni ja e-posti teel lahenduse vigade korral; </w:t>
      </w:r>
    </w:p>
    <w:p w14:paraId="2595DE34" w14:textId="64C4B79A" w:rsidR="00C43876" w:rsidRPr="0050030C" w:rsidRDefault="00C43876"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 xml:space="preserve">riistvara asendus rikke korral lahenduse asukohas </w:t>
      </w:r>
      <w:r w:rsidR="000C1870">
        <w:rPr>
          <w:rFonts w:ascii="Times New Roman" w:hAnsi="Times New Roman" w:cs="Times New Roman"/>
        </w:rPr>
        <w:t>2</w:t>
      </w:r>
      <w:r w:rsidR="00FF0012">
        <w:rPr>
          <w:rFonts w:ascii="Times New Roman" w:hAnsi="Times New Roman" w:cs="Times New Roman"/>
        </w:rPr>
        <w:t xml:space="preserve"> tööpäeva jooksul</w:t>
      </w:r>
      <w:r w:rsidRPr="0050030C">
        <w:rPr>
          <w:rFonts w:ascii="Times New Roman" w:hAnsi="Times New Roman" w:cs="Times New Roman"/>
        </w:rPr>
        <w:t xml:space="preserve">. Tootetoe käigus vahetatud riistvarale kehtib vastav garantii, garantii algab seadme vahetamise hetkest. Uue seadme omandiõigus läheb täitjalt tellijale üle seadme vastuvõtmise hetkest. Tellija ei tagasta täitjale salvestusseadmeid (kõvakettaid, välkmälusid jmt), tellija ei tagasta täitjale seadet, kui seadme salvestusseadet ei ole tehniliselt võimalik eemaldada; </w:t>
      </w:r>
    </w:p>
    <w:p w14:paraId="017A2C9D" w14:textId="2F682F03" w:rsidR="00C43876" w:rsidRPr="0050030C" w:rsidRDefault="00C43876"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lastRenderedPageBreak/>
        <w:t xml:space="preserve">täitja kohustub kahe tööpäeva jooksul tellija vastavasisulisest nõudmisest näitama tellija pöördumise eskaleerimist tootjapoolses pöördumiste haldamise süsteemis. </w:t>
      </w:r>
    </w:p>
    <w:p w14:paraId="470E2D98" w14:textId="574C162D" w:rsidR="00C43876" w:rsidRDefault="00C43876" w:rsidP="00B8758B">
      <w:pPr>
        <w:pStyle w:val="ListParagraph"/>
        <w:numPr>
          <w:ilvl w:val="1"/>
          <w:numId w:val="6"/>
        </w:numPr>
        <w:spacing w:line="276" w:lineRule="auto"/>
        <w:contextualSpacing/>
        <w:jc w:val="both"/>
        <w:rPr>
          <w:rFonts w:ascii="Times New Roman" w:hAnsi="Times New Roman" w:cs="Times New Roman"/>
        </w:rPr>
      </w:pPr>
      <w:r w:rsidRPr="0050030C">
        <w:rPr>
          <w:rFonts w:ascii="Times New Roman" w:hAnsi="Times New Roman" w:cs="Times New Roman"/>
        </w:rPr>
        <w:t xml:space="preserve">kõikide seadmete </w:t>
      </w:r>
      <w:r w:rsidR="008F5BD7">
        <w:rPr>
          <w:rFonts w:ascii="Times New Roman" w:hAnsi="Times New Roman" w:cs="Times New Roman"/>
        </w:rPr>
        <w:t xml:space="preserve">jaoks </w:t>
      </w:r>
      <w:r w:rsidRPr="0050030C">
        <w:rPr>
          <w:rFonts w:ascii="Times New Roman" w:hAnsi="Times New Roman" w:cs="Times New Roman"/>
        </w:rPr>
        <w:t xml:space="preserve">peab olema täitja poolt </w:t>
      </w:r>
      <w:r w:rsidR="008F5BD7">
        <w:rPr>
          <w:rFonts w:ascii="Times New Roman" w:hAnsi="Times New Roman" w:cs="Times New Roman"/>
        </w:rPr>
        <w:t>eraldi kaasa pandud</w:t>
      </w:r>
      <w:r w:rsidRPr="0050030C">
        <w:rPr>
          <w:rFonts w:ascii="Times New Roman" w:hAnsi="Times New Roman" w:cs="Times New Roman"/>
        </w:rPr>
        <w:t xml:space="preserve"> silt järgmise teabega: Tootetoe lõpptähtaeg, teostava asutuse nimi, kontaktid (sh telefon ja e-mail), hankelepingu number.</w:t>
      </w:r>
      <w:r w:rsidR="008F5BD7">
        <w:rPr>
          <w:rFonts w:ascii="Times New Roman" w:hAnsi="Times New Roman" w:cs="Times New Roman"/>
        </w:rPr>
        <w:t xml:space="preserve"> Tootja pakendeid mitte avada.</w:t>
      </w:r>
    </w:p>
    <w:p w14:paraId="387DADF9" w14:textId="77777777" w:rsidR="00E24C75" w:rsidRPr="00DB3A40" w:rsidRDefault="00E24C75" w:rsidP="00B8758B">
      <w:pPr>
        <w:pStyle w:val="ListParagraph"/>
        <w:numPr>
          <w:ilvl w:val="1"/>
          <w:numId w:val="6"/>
        </w:numPr>
        <w:spacing w:line="276" w:lineRule="auto"/>
        <w:contextualSpacing/>
        <w:jc w:val="both"/>
        <w:rPr>
          <w:rFonts w:ascii="Times New Roman" w:hAnsi="Times New Roman" w:cs="Times New Roman"/>
        </w:rPr>
      </w:pPr>
      <w:r w:rsidRPr="00DB3A40">
        <w:rPr>
          <w:rFonts w:ascii="Times New Roman" w:hAnsi="Times New Roman" w:cs="Times New Roman"/>
        </w:rPr>
        <w:t>Tootetuge tuleb pakkuda eesti ja/või inglise keeles toote asukohas (</w:t>
      </w:r>
      <w:proofErr w:type="spellStart"/>
      <w:r w:rsidRPr="00DB3A40">
        <w:rPr>
          <w:rFonts w:ascii="Times New Roman" w:hAnsi="Times New Roman" w:cs="Times New Roman"/>
        </w:rPr>
        <w:t>on-site</w:t>
      </w:r>
      <w:proofErr w:type="spellEnd"/>
      <w:r w:rsidRPr="00DB3A40">
        <w:rPr>
          <w:rFonts w:ascii="Times New Roman" w:hAnsi="Times New Roman" w:cs="Times New Roman"/>
        </w:rPr>
        <w:t>)</w:t>
      </w:r>
      <w:r>
        <w:rPr>
          <w:rFonts w:ascii="Times New Roman" w:hAnsi="Times New Roman" w:cs="Times New Roman"/>
        </w:rPr>
        <w:t>.</w:t>
      </w:r>
    </w:p>
    <w:p w14:paraId="098E707A" w14:textId="77777777" w:rsidR="00E24C75" w:rsidRPr="0050030C" w:rsidRDefault="00E24C75" w:rsidP="00B8758B">
      <w:pPr>
        <w:pStyle w:val="ListParagraph"/>
        <w:spacing w:line="276" w:lineRule="auto"/>
        <w:ind w:left="1080"/>
        <w:contextualSpacing/>
        <w:jc w:val="both"/>
        <w:rPr>
          <w:rFonts w:ascii="Times New Roman" w:hAnsi="Times New Roman" w:cs="Times New Roman"/>
        </w:rPr>
      </w:pPr>
    </w:p>
    <w:p w14:paraId="56A2EBAE" w14:textId="77777777" w:rsidR="00D612BE" w:rsidRPr="0050030C" w:rsidRDefault="00D612BE" w:rsidP="00B8758B">
      <w:pPr>
        <w:pStyle w:val="Default"/>
        <w:spacing w:line="276" w:lineRule="auto"/>
        <w:jc w:val="both"/>
        <w:rPr>
          <w:rFonts w:ascii="Times New Roman" w:hAnsi="Times New Roman" w:cs="Times New Roman"/>
          <w:b/>
          <w:bCs/>
          <w:color w:val="auto"/>
        </w:rPr>
      </w:pPr>
    </w:p>
    <w:p w14:paraId="75680691" w14:textId="401DE9E6" w:rsidR="00C43876" w:rsidRPr="0001018E" w:rsidRDefault="00C43876" w:rsidP="00B8758B">
      <w:pPr>
        <w:pStyle w:val="Default"/>
        <w:spacing w:line="276" w:lineRule="auto"/>
        <w:jc w:val="both"/>
        <w:rPr>
          <w:rFonts w:ascii="Times New Roman" w:hAnsi="Times New Roman" w:cs="Times New Roman"/>
          <w:b/>
          <w:bCs/>
          <w:color w:val="auto"/>
          <w:sz w:val="22"/>
          <w:szCs w:val="22"/>
        </w:rPr>
      </w:pPr>
      <w:r w:rsidRPr="0001018E">
        <w:rPr>
          <w:rFonts w:ascii="Times New Roman" w:hAnsi="Times New Roman" w:cs="Times New Roman"/>
          <w:b/>
          <w:bCs/>
          <w:color w:val="auto"/>
          <w:sz w:val="22"/>
          <w:szCs w:val="22"/>
        </w:rPr>
        <w:t>Lisanõuded</w:t>
      </w:r>
    </w:p>
    <w:p w14:paraId="32D0DFF6" w14:textId="77777777" w:rsidR="00C43876" w:rsidRPr="0001018E" w:rsidRDefault="00C43876" w:rsidP="00B8758B">
      <w:pPr>
        <w:pStyle w:val="Default"/>
        <w:spacing w:line="276" w:lineRule="auto"/>
        <w:jc w:val="both"/>
        <w:rPr>
          <w:rFonts w:ascii="Times New Roman" w:hAnsi="Times New Roman" w:cs="Times New Roman"/>
          <w:b/>
          <w:bCs/>
          <w:color w:val="auto"/>
          <w:sz w:val="22"/>
          <w:szCs w:val="22"/>
        </w:rPr>
      </w:pPr>
    </w:p>
    <w:p w14:paraId="30E0C0E8" w14:textId="77777777" w:rsidR="00E24C75" w:rsidRDefault="002B174D" w:rsidP="00B8758B">
      <w:pPr>
        <w:pStyle w:val="Default"/>
        <w:numPr>
          <w:ilvl w:val="0"/>
          <w:numId w:val="3"/>
        </w:numPr>
        <w:spacing w:line="276" w:lineRule="auto"/>
        <w:jc w:val="both"/>
        <w:rPr>
          <w:rFonts w:ascii="Times New Roman" w:hAnsi="Times New Roman" w:cs="Times New Roman"/>
          <w:color w:val="auto"/>
          <w:sz w:val="22"/>
          <w:szCs w:val="22"/>
        </w:rPr>
      </w:pPr>
      <w:r w:rsidRPr="0001018E">
        <w:rPr>
          <w:rFonts w:ascii="Times New Roman" w:hAnsi="Times New Roman" w:cs="Times New Roman"/>
          <w:color w:val="auto"/>
          <w:sz w:val="22"/>
          <w:szCs w:val="22"/>
        </w:rPr>
        <w:t xml:space="preserve">Seadmete transpordi kulud hankija esitatud aadressile kannab pakkuja. </w:t>
      </w:r>
    </w:p>
    <w:p w14:paraId="0526F884" w14:textId="395592E2" w:rsidR="00E24C75" w:rsidRPr="00E24C75" w:rsidRDefault="00E24C75" w:rsidP="00B8758B">
      <w:pPr>
        <w:pStyle w:val="Default"/>
        <w:numPr>
          <w:ilvl w:val="0"/>
          <w:numId w:val="3"/>
        </w:numPr>
        <w:spacing w:line="276" w:lineRule="auto"/>
        <w:jc w:val="both"/>
        <w:rPr>
          <w:rFonts w:ascii="Times New Roman" w:hAnsi="Times New Roman" w:cs="Times New Roman"/>
          <w:color w:val="auto"/>
          <w:sz w:val="22"/>
          <w:szCs w:val="22"/>
        </w:rPr>
      </w:pPr>
      <w:r w:rsidRPr="00E24C75">
        <w:rPr>
          <w:rFonts w:ascii="Times New Roman" w:hAnsi="Times New Roman" w:cs="Times New Roman"/>
          <w:color w:val="auto"/>
          <w:sz w:val="22"/>
          <w:szCs w:val="22"/>
        </w:rPr>
        <w:t>Pakkujal peab olema pakutavatele toodetele tootja või ametliku maaletooja müügiluba.</w:t>
      </w:r>
    </w:p>
    <w:p w14:paraId="0A9AB841" w14:textId="477E75AC" w:rsidR="002B174D" w:rsidRPr="0001018E" w:rsidRDefault="002B174D" w:rsidP="00B8758B">
      <w:pPr>
        <w:pStyle w:val="Default"/>
        <w:numPr>
          <w:ilvl w:val="0"/>
          <w:numId w:val="3"/>
        </w:numPr>
        <w:spacing w:line="276" w:lineRule="auto"/>
        <w:jc w:val="both"/>
        <w:rPr>
          <w:rFonts w:ascii="Times New Roman" w:hAnsi="Times New Roman" w:cs="Times New Roman"/>
          <w:color w:val="auto"/>
          <w:sz w:val="22"/>
          <w:szCs w:val="22"/>
        </w:rPr>
      </w:pPr>
      <w:r w:rsidRPr="0001018E">
        <w:rPr>
          <w:rFonts w:ascii="Times New Roman" w:hAnsi="Times New Roman" w:cs="Times New Roman"/>
          <w:color w:val="auto"/>
          <w:sz w:val="22"/>
          <w:szCs w:val="22"/>
        </w:rPr>
        <w:t xml:space="preserve">Tarne </w:t>
      </w:r>
      <w:r w:rsidR="00430D5F" w:rsidRPr="0001018E">
        <w:rPr>
          <w:rFonts w:ascii="Times New Roman" w:hAnsi="Times New Roman" w:cs="Times New Roman"/>
          <w:color w:val="auto"/>
          <w:sz w:val="22"/>
          <w:szCs w:val="22"/>
        </w:rPr>
        <w:t>–</w:t>
      </w:r>
      <w:r w:rsidRPr="0001018E">
        <w:rPr>
          <w:rFonts w:ascii="Times New Roman" w:hAnsi="Times New Roman" w:cs="Times New Roman"/>
          <w:color w:val="auto"/>
          <w:sz w:val="22"/>
          <w:szCs w:val="22"/>
        </w:rPr>
        <w:t xml:space="preserve"> </w:t>
      </w:r>
      <w:r w:rsidR="000C1870">
        <w:rPr>
          <w:rFonts w:ascii="Times New Roman" w:hAnsi="Times New Roman" w:cs="Times New Roman"/>
          <w:color w:val="auto"/>
          <w:sz w:val="22"/>
          <w:szCs w:val="22"/>
        </w:rPr>
        <w:t>Pärnu mnt 139</w:t>
      </w:r>
      <w:r w:rsidRPr="0001018E">
        <w:rPr>
          <w:rFonts w:ascii="Times New Roman" w:hAnsi="Times New Roman" w:cs="Times New Roman"/>
          <w:color w:val="auto"/>
          <w:sz w:val="22"/>
          <w:szCs w:val="22"/>
        </w:rPr>
        <w:t xml:space="preserve"> , Tallinn. Kontakt</w:t>
      </w:r>
      <w:r w:rsidR="000327FD" w:rsidRPr="0001018E">
        <w:rPr>
          <w:rFonts w:ascii="Times New Roman" w:hAnsi="Times New Roman" w:cs="Times New Roman"/>
          <w:color w:val="auto"/>
          <w:sz w:val="22"/>
          <w:szCs w:val="22"/>
        </w:rPr>
        <w:t>:</w:t>
      </w:r>
    </w:p>
    <w:p w14:paraId="030F87E0" w14:textId="7BBE20DF" w:rsidR="006E560B" w:rsidRPr="009B0835" w:rsidRDefault="002B174D" w:rsidP="009B0835">
      <w:pPr>
        <w:pStyle w:val="Default"/>
        <w:numPr>
          <w:ilvl w:val="0"/>
          <w:numId w:val="3"/>
        </w:numPr>
        <w:spacing w:line="276" w:lineRule="auto"/>
        <w:jc w:val="both"/>
        <w:rPr>
          <w:rFonts w:ascii="Times New Roman" w:hAnsi="Times New Roman" w:cs="Times New Roman"/>
          <w:color w:val="auto"/>
          <w:sz w:val="22"/>
          <w:szCs w:val="22"/>
        </w:rPr>
      </w:pPr>
      <w:r w:rsidRPr="0001018E">
        <w:rPr>
          <w:rFonts w:ascii="Times New Roman" w:hAnsi="Times New Roman" w:cs="Times New Roman"/>
          <w:color w:val="auto"/>
          <w:sz w:val="22"/>
          <w:szCs w:val="22"/>
        </w:rPr>
        <w:t>Seadmete juurde kuuluv tarkvara (nt operatsioonisüsteem) peab olema ettenähtud kasutamiseks hankija asukoha regioonis.</w:t>
      </w:r>
    </w:p>
    <w:sectPr w:rsidR="006E560B" w:rsidRPr="009B0835" w:rsidSect="008A3475">
      <w:pgSz w:w="11910" w:h="16845"/>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0292"/>
    <w:multiLevelType w:val="hybridMultilevel"/>
    <w:tmpl w:val="785E376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15964057"/>
    <w:multiLevelType w:val="hybridMultilevel"/>
    <w:tmpl w:val="F1526FF8"/>
    <w:lvl w:ilvl="0" w:tplc="04AA63C6">
      <w:start w:val="1"/>
      <w:numFmt w:val="decimal"/>
      <w:lvlText w:val="%1."/>
      <w:lvlJc w:val="left"/>
      <w:pPr>
        <w:ind w:left="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12D9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B41A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3AC0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F0F6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8B0D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0A9E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EE5F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E43D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624D90"/>
    <w:multiLevelType w:val="hybridMultilevel"/>
    <w:tmpl w:val="B2668D68"/>
    <w:lvl w:ilvl="0" w:tplc="57B8B2C4">
      <w:start w:val="1"/>
      <w:numFmt w:val="decimal"/>
      <w:lvlText w:val="%1."/>
      <w:lvlJc w:val="left"/>
      <w:pPr>
        <w:ind w:left="785"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CCE60B3"/>
    <w:multiLevelType w:val="hybridMultilevel"/>
    <w:tmpl w:val="EBF4A01E"/>
    <w:lvl w:ilvl="0" w:tplc="6D385778">
      <w:start w:val="6"/>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4" w15:restartNumberingAfterBreak="0">
    <w:nsid w:val="4E5672D8"/>
    <w:multiLevelType w:val="hybridMultilevel"/>
    <w:tmpl w:val="B2668D68"/>
    <w:lvl w:ilvl="0" w:tplc="FFFFFFFF">
      <w:start w:val="1"/>
      <w:numFmt w:val="decimal"/>
      <w:lvlText w:val="%1."/>
      <w:lvlJc w:val="left"/>
      <w:pPr>
        <w:ind w:left="785"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7E5AE1"/>
    <w:multiLevelType w:val="multilevel"/>
    <w:tmpl w:val="4DF051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E20CB6"/>
    <w:multiLevelType w:val="multilevel"/>
    <w:tmpl w:val="9420336C"/>
    <w:lvl w:ilvl="0">
      <w:start w:val="1"/>
      <w:numFmt w:val="decimal"/>
      <w:lvlText w:val="%1."/>
      <w:lvlJc w:val="left"/>
      <w:pPr>
        <w:ind w:left="502"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693B36"/>
    <w:multiLevelType w:val="multilevel"/>
    <w:tmpl w:val="9420336C"/>
    <w:lvl w:ilvl="0">
      <w:start w:val="1"/>
      <w:numFmt w:val="decimal"/>
      <w:lvlText w:val="%1."/>
      <w:lvlJc w:val="left"/>
      <w:pPr>
        <w:ind w:left="502"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56638E0"/>
    <w:multiLevelType w:val="hybridMultilevel"/>
    <w:tmpl w:val="85B27FA4"/>
    <w:lvl w:ilvl="0" w:tplc="73C837EA">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307442865">
    <w:abstractNumId w:val="1"/>
  </w:num>
  <w:num w:numId="2" w16cid:durableId="770049337">
    <w:abstractNumId w:val="8"/>
  </w:num>
  <w:num w:numId="3" w16cid:durableId="1170754754">
    <w:abstractNumId w:val="4"/>
  </w:num>
  <w:num w:numId="4" w16cid:durableId="119882403">
    <w:abstractNumId w:val="2"/>
  </w:num>
  <w:num w:numId="5" w16cid:durableId="549149429">
    <w:abstractNumId w:val="0"/>
  </w:num>
  <w:num w:numId="6" w16cid:durableId="1309556915">
    <w:abstractNumId w:val="7"/>
  </w:num>
  <w:num w:numId="7" w16cid:durableId="1702122492">
    <w:abstractNumId w:val="6"/>
  </w:num>
  <w:num w:numId="8" w16cid:durableId="1546484208">
    <w:abstractNumId w:val="3"/>
  </w:num>
  <w:num w:numId="9" w16cid:durableId="2104185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2D"/>
    <w:rsid w:val="0001018E"/>
    <w:rsid w:val="00016C7A"/>
    <w:rsid w:val="00022113"/>
    <w:rsid w:val="00025163"/>
    <w:rsid w:val="000310FF"/>
    <w:rsid w:val="000327FD"/>
    <w:rsid w:val="0004663A"/>
    <w:rsid w:val="000518AB"/>
    <w:rsid w:val="00053FFE"/>
    <w:rsid w:val="00075F32"/>
    <w:rsid w:val="00075FE1"/>
    <w:rsid w:val="000A5A8C"/>
    <w:rsid w:val="000C177C"/>
    <w:rsid w:val="000C1870"/>
    <w:rsid w:val="000C614A"/>
    <w:rsid w:val="000F12EF"/>
    <w:rsid w:val="000F21D7"/>
    <w:rsid w:val="000F35C9"/>
    <w:rsid w:val="00101FF9"/>
    <w:rsid w:val="00107632"/>
    <w:rsid w:val="001414B7"/>
    <w:rsid w:val="001750C8"/>
    <w:rsid w:val="00193453"/>
    <w:rsid w:val="001935B9"/>
    <w:rsid w:val="001B7555"/>
    <w:rsid w:val="001B7B2F"/>
    <w:rsid w:val="001D3CD3"/>
    <w:rsid w:val="001E2A3A"/>
    <w:rsid w:val="001E59F1"/>
    <w:rsid w:val="001F5659"/>
    <w:rsid w:val="002205D1"/>
    <w:rsid w:val="00246551"/>
    <w:rsid w:val="0027498E"/>
    <w:rsid w:val="002815E3"/>
    <w:rsid w:val="00283E2D"/>
    <w:rsid w:val="00293087"/>
    <w:rsid w:val="00293417"/>
    <w:rsid w:val="00294853"/>
    <w:rsid w:val="002A35B4"/>
    <w:rsid w:val="002B174D"/>
    <w:rsid w:val="002B6F55"/>
    <w:rsid w:val="002C07E8"/>
    <w:rsid w:val="002C790A"/>
    <w:rsid w:val="002E2730"/>
    <w:rsid w:val="002E3876"/>
    <w:rsid w:val="00323F4E"/>
    <w:rsid w:val="003532DC"/>
    <w:rsid w:val="003856FB"/>
    <w:rsid w:val="00397100"/>
    <w:rsid w:val="003C1DCA"/>
    <w:rsid w:val="003D13AC"/>
    <w:rsid w:val="00416E32"/>
    <w:rsid w:val="004211AC"/>
    <w:rsid w:val="00430D5F"/>
    <w:rsid w:val="00486178"/>
    <w:rsid w:val="004A349C"/>
    <w:rsid w:val="004A5234"/>
    <w:rsid w:val="004C1C96"/>
    <w:rsid w:val="004D49BC"/>
    <w:rsid w:val="004F13A5"/>
    <w:rsid w:val="004F7387"/>
    <w:rsid w:val="004F7F8C"/>
    <w:rsid w:val="0050030C"/>
    <w:rsid w:val="00573BD4"/>
    <w:rsid w:val="00576856"/>
    <w:rsid w:val="005968A2"/>
    <w:rsid w:val="005B0A7D"/>
    <w:rsid w:val="005B5E14"/>
    <w:rsid w:val="005D5F51"/>
    <w:rsid w:val="005D63CA"/>
    <w:rsid w:val="005D7F4D"/>
    <w:rsid w:val="005E1DCE"/>
    <w:rsid w:val="005E44AC"/>
    <w:rsid w:val="005E60B7"/>
    <w:rsid w:val="005E76CC"/>
    <w:rsid w:val="005F6896"/>
    <w:rsid w:val="0061235C"/>
    <w:rsid w:val="0062047A"/>
    <w:rsid w:val="00632286"/>
    <w:rsid w:val="00644B1D"/>
    <w:rsid w:val="00647B7A"/>
    <w:rsid w:val="00650814"/>
    <w:rsid w:val="0066158D"/>
    <w:rsid w:val="0069627B"/>
    <w:rsid w:val="006B273D"/>
    <w:rsid w:val="006B78CD"/>
    <w:rsid w:val="006C1603"/>
    <w:rsid w:val="006C449D"/>
    <w:rsid w:val="006D215E"/>
    <w:rsid w:val="006D4AAF"/>
    <w:rsid w:val="006D6127"/>
    <w:rsid w:val="006E0C34"/>
    <w:rsid w:val="006E21C8"/>
    <w:rsid w:val="006E560B"/>
    <w:rsid w:val="00710208"/>
    <w:rsid w:val="007136E0"/>
    <w:rsid w:val="00721D51"/>
    <w:rsid w:val="00722461"/>
    <w:rsid w:val="00740585"/>
    <w:rsid w:val="007462BA"/>
    <w:rsid w:val="00764E66"/>
    <w:rsid w:val="00767073"/>
    <w:rsid w:val="007701C7"/>
    <w:rsid w:val="00771C5F"/>
    <w:rsid w:val="007937F0"/>
    <w:rsid w:val="007D4773"/>
    <w:rsid w:val="007E23AB"/>
    <w:rsid w:val="00801F4E"/>
    <w:rsid w:val="00813BBE"/>
    <w:rsid w:val="0083062A"/>
    <w:rsid w:val="008515E5"/>
    <w:rsid w:val="00856371"/>
    <w:rsid w:val="00861C7A"/>
    <w:rsid w:val="0086626D"/>
    <w:rsid w:val="00866980"/>
    <w:rsid w:val="00874DAD"/>
    <w:rsid w:val="00877CFE"/>
    <w:rsid w:val="00880558"/>
    <w:rsid w:val="00883416"/>
    <w:rsid w:val="00883925"/>
    <w:rsid w:val="00885C31"/>
    <w:rsid w:val="0089618F"/>
    <w:rsid w:val="008A3475"/>
    <w:rsid w:val="008C53E8"/>
    <w:rsid w:val="008D030B"/>
    <w:rsid w:val="008F5BD7"/>
    <w:rsid w:val="00906C0A"/>
    <w:rsid w:val="00911F32"/>
    <w:rsid w:val="00916C3A"/>
    <w:rsid w:val="00926024"/>
    <w:rsid w:val="00944F22"/>
    <w:rsid w:val="00945F05"/>
    <w:rsid w:val="00946869"/>
    <w:rsid w:val="00963222"/>
    <w:rsid w:val="00964696"/>
    <w:rsid w:val="00972DF9"/>
    <w:rsid w:val="00995986"/>
    <w:rsid w:val="009B0835"/>
    <w:rsid w:val="009B3CB1"/>
    <w:rsid w:val="009C0F18"/>
    <w:rsid w:val="009C4B5A"/>
    <w:rsid w:val="009D3C91"/>
    <w:rsid w:val="009D7220"/>
    <w:rsid w:val="009F1096"/>
    <w:rsid w:val="00A02836"/>
    <w:rsid w:val="00A12E58"/>
    <w:rsid w:val="00A242B0"/>
    <w:rsid w:val="00A37E1F"/>
    <w:rsid w:val="00A4713F"/>
    <w:rsid w:val="00A554F4"/>
    <w:rsid w:val="00A56B4C"/>
    <w:rsid w:val="00A61150"/>
    <w:rsid w:val="00A74310"/>
    <w:rsid w:val="00A76EEE"/>
    <w:rsid w:val="00A81662"/>
    <w:rsid w:val="00A91C47"/>
    <w:rsid w:val="00A97E08"/>
    <w:rsid w:val="00AC02EE"/>
    <w:rsid w:val="00AC05C5"/>
    <w:rsid w:val="00AE0179"/>
    <w:rsid w:val="00AE72BA"/>
    <w:rsid w:val="00B017F1"/>
    <w:rsid w:val="00B051EB"/>
    <w:rsid w:val="00B85B3F"/>
    <w:rsid w:val="00B8758B"/>
    <w:rsid w:val="00B94461"/>
    <w:rsid w:val="00B94C72"/>
    <w:rsid w:val="00BB16E3"/>
    <w:rsid w:val="00BE18DC"/>
    <w:rsid w:val="00BE43AC"/>
    <w:rsid w:val="00BE7762"/>
    <w:rsid w:val="00BF7EB8"/>
    <w:rsid w:val="00C11792"/>
    <w:rsid w:val="00C166A6"/>
    <w:rsid w:val="00C43876"/>
    <w:rsid w:val="00C52FC7"/>
    <w:rsid w:val="00C702D8"/>
    <w:rsid w:val="00C71347"/>
    <w:rsid w:val="00C738C6"/>
    <w:rsid w:val="00CA6848"/>
    <w:rsid w:val="00CC3798"/>
    <w:rsid w:val="00CD2325"/>
    <w:rsid w:val="00CE1493"/>
    <w:rsid w:val="00CF336A"/>
    <w:rsid w:val="00CF4168"/>
    <w:rsid w:val="00D167A7"/>
    <w:rsid w:val="00D23A20"/>
    <w:rsid w:val="00D51E38"/>
    <w:rsid w:val="00D6013F"/>
    <w:rsid w:val="00D601D8"/>
    <w:rsid w:val="00D612BE"/>
    <w:rsid w:val="00D75E91"/>
    <w:rsid w:val="00D762EE"/>
    <w:rsid w:val="00D90184"/>
    <w:rsid w:val="00D9407D"/>
    <w:rsid w:val="00D96BB4"/>
    <w:rsid w:val="00D96CA6"/>
    <w:rsid w:val="00DC0D42"/>
    <w:rsid w:val="00DC4141"/>
    <w:rsid w:val="00DE6086"/>
    <w:rsid w:val="00DF2794"/>
    <w:rsid w:val="00E044FD"/>
    <w:rsid w:val="00E061B5"/>
    <w:rsid w:val="00E15AE7"/>
    <w:rsid w:val="00E24C75"/>
    <w:rsid w:val="00E449E0"/>
    <w:rsid w:val="00E6501A"/>
    <w:rsid w:val="00E71C30"/>
    <w:rsid w:val="00E83AB7"/>
    <w:rsid w:val="00E84B0A"/>
    <w:rsid w:val="00E93D3B"/>
    <w:rsid w:val="00EA1FEE"/>
    <w:rsid w:val="00EA3B82"/>
    <w:rsid w:val="00EB3480"/>
    <w:rsid w:val="00ED45B8"/>
    <w:rsid w:val="00EF5EDB"/>
    <w:rsid w:val="00F11056"/>
    <w:rsid w:val="00F31A50"/>
    <w:rsid w:val="00F43525"/>
    <w:rsid w:val="00F918F1"/>
    <w:rsid w:val="00F94E1F"/>
    <w:rsid w:val="00FD53A6"/>
    <w:rsid w:val="00FD7D6D"/>
    <w:rsid w:val="00FE01F2"/>
    <w:rsid w:val="00FE1BBE"/>
    <w:rsid w:val="00FF0012"/>
    <w:rsid w:val="00FF67AF"/>
    <w:rsid w:val="00FF7F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1BBD"/>
  <w15:docId w15:val="{1C69F1E7-BC00-4A27-826C-5BB32ED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030B"/>
    <w:pPr>
      <w:spacing w:after="0" w:line="240" w:lineRule="auto"/>
      <w:ind w:left="720" w:firstLine="0"/>
      <w:jc w:val="left"/>
    </w:pPr>
    <w:rPr>
      <w:rFonts w:ascii="Calibri" w:eastAsiaTheme="minorHAnsi" w:hAnsi="Calibri" w:cs="Calibri"/>
      <w:color w:val="auto"/>
      <w:kern w:val="0"/>
      <w:sz w:val="22"/>
      <w:lang w:eastAsia="en-US"/>
      <w14:ligatures w14:val="none"/>
    </w:rPr>
  </w:style>
  <w:style w:type="paragraph" w:customStyle="1" w:styleId="Default">
    <w:name w:val="Default"/>
    <w:rsid w:val="00DC414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6D215E"/>
    <w:rPr>
      <w:color w:val="0563C1" w:themeColor="hyperlink"/>
      <w:u w:val="single"/>
    </w:rPr>
  </w:style>
  <w:style w:type="character" w:styleId="UnresolvedMention">
    <w:name w:val="Unresolved Mention"/>
    <w:basedOn w:val="DefaultParagraphFont"/>
    <w:uiPriority w:val="99"/>
    <w:semiHidden/>
    <w:unhideWhenUsed/>
    <w:rsid w:val="006D215E"/>
    <w:rPr>
      <w:color w:val="605E5C"/>
      <w:shd w:val="clear" w:color="auto" w:fill="E1DFDD"/>
    </w:rPr>
  </w:style>
  <w:style w:type="character" w:styleId="FollowedHyperlink">
    <w:name w:val="FollowedHyperlink"/>
    <w:basedOn w:val="DefaultParagraphFont"/>
    <w:uiPriority w:val="99"/>
    <w:semiHidden/>
    <w:unhideWhenUsed/>
    <w:rsid w:val="006D215E"/>
    <w:rPr>
      <w:color w:val="954F72" w:themeColor="followedHyperlink"/>
      <w:u w:val="single"/>
    </w:rPr>
  </w:style>
  <w:style w:type="character" w:styleId="CommentReference">
    <w:name w:val="annotation reference"/>
    <w:basedOn w:val="DefaultParagraphFont"/>
    <w:uiPriority w:val="99"/>
    <w:semiHidden/>
    <w:unhideWhenUsed/>
    <w:rsid w:val="009D3C91"/>
    <w:rPr>
      <w:sz w:val="16"/>
      <w:szCs w:val="16"/>
    </w:rPr>
  </w:style>
  <w:style w:type="paragraph" w:styleId="CommentText">
    <w:name w:val="annotation text"/>
    <w:basedOn w:val="Normal"/>
    <w:link w:val="CommentTextChar"/>
    <w:uiPriority w:val="99"/>
    <w:unhideWhenUsed/>
    <w:rsid w:val="009D3C91"/>
    <w:pPr>
      <w:spacing w:line="240" w:lineRule="auto"/>
    </w:pPr>
    <w:rPr>
      <w:sz w:val="20"/>
      <w:szCs w:val="20"/>
    </w:rPr>
  </w:style>
  <w:style w:type="character" w:customStyle="1" w:styleId="CommentTextChar">
    <w:name w:val="Comment Text Char"/>
    <w:basedOn w:val="DefaultParagraphFont"/>
    <w:link w:val="CommentText"/>
    <w:uiPriority w:val="99"/>
    <w:rsid w:val="009D3C9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3C91"/>
    <w:rPr>
      <w:b/>
      <w:bCs/>
    </w:rPr>
  </w:style>
  <w:style w:type="character" w:customStyle="1" w:styleId="CommentSubjectChar">
    <w:name w:val="Comment Subject Char"/>
    <w:basedOn w:val="CommentTextChar"/>
    <w:link w:val="CommentSubject"/>
    <w:uiPriority w:val="99"/>
    <w:semiHidden/>
    <w:rsid w:val="009D3C91"/>
    <w:rPr>
      <w:rFonts w:ascii="Times New Roman" w:eastAsia="Times New Roman" w:hAnsi="Times New Roman" w:cs="Times New Roman"/>
      <w:b/>
      <w:bCs/>
      <w:color w:val="000000"/>
      <w:sz w:val="20"/>
      <w:szCs w:val="20"/>
    </w:rPr>
  </w:style>
  <w:style w:type="paragraph" w:styleId="Revision">
    <w:name w:val="Revision"/>
    <w:hidden/>
    <w:uiPriority w:val="99"/>
    <w:semiHidden/>
    <w:rsid w:val="00C166A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7644">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601569502">
      <w:bodyDiv w:val="1"/>
      <w:marLeft w:val="0"/>
      <w:marRight w:val="0"/>
      <w:marTop w:val="0"/>
      <w:marBottom w:val="0"/>
      <w:divBdr>
        <w:top w:val="none" w:sz="0" w:space="0" w:color="auto"/>
        <w:left w:val="none" w:sz="0" w:space="0" w:color="auto"/>
        <w:bottom w:val="none" w:sz="0" w:space="0" w:color="auto"/>
        <w:right w:val="none" w:sz="0" w:space="0" w:color="auto"/>
      </w:divBdr>
    </w:div>
    <w:div w:id="691885480">
      <w:bodyDiv w:val="1"/>
      <w:marLeft w:val="0"/>
      <w:marRight w:val="0"/>
      <w:marTop w:val="0"/>
      <w:marBottom w:val="0"/>
      <w:divBdr>
        <w:top w:val="none" w:sz="0" w:space="0" w:color="auto"/>
        <w:left w:val="none" w:sz="0" w:space="0" w:color="auto"/>
        <w:bottom w:val="none" w:sz="0" w:space="0" w:color="auto"/>
        <w:right w:val="none" w:sz="0" w:space="0" w:color="auto"/>
      </w:divBdr>
    </w:div>
    <w:div w:id="817384913">
      <w:bodyDiv w:val="1"/>
      <w:marLeft w:val="0"/>
      <w:marRight w:val="0"/>
      <w:marTop w:val="0"/>
      <w:marBottom w:val="0"/>
      <w:divBdr>
        <w:top w:val="none" w:sz="0" w:space="0" w:color="auto"/>
        <w:left w:val="none" w:sz="0" w:space="0" w:color="auto"/>
        <w:bottom w:val="none" w:sz="0" w:space="0" w:color="auto"/>
        <w:right w:val="none" w:sz="0" w:space="0" w:color="auto"/>
      </w:divBdr>
    </w:div>
    <w:div w:id="1131167297">
      <w:bodyDiv w:val="1"/>
      <w:marLeft w:val="0"/>
      <w:marRight w:val="0"/>
      <w:marTop w:val="0"/>
      <w:marBottom w:val="0"/>
      <w:divBdr>
        <w:top w:val="none" w:sz="0" w:space="0" w:color="auto"/>
        <w:left w:val="none" w:sz="0" w:space="0" w:color="auto"/>
        <w:bottom w:val="none" w:sz="0" w:space="0" w:color="auto"/>
        <w:right w:val="none" w:sz="0" w:space="0" w:color="auto"/>
      </w:divBdr>
    </w:div>
    <w:div w:id="1324116291">
      <w:bodyDiv w:val="1"/>
      <w:marLeft w:val="0"/>
      <w:marRight w:val="0"/>
      <w:marTop w:val="0"/>
      <w:marBottom w:val="0"/>
      <w:divBdr>
        <w:top w:val="none" w:sz="0" w:space="0" w:color="auto"/>
        <w:left w:val="none" w:sz="0" w:space="0" w:color="auto"/>
        <w:bottom w:val="none" w:sz="0" w:space="0" w:color="auto"/>
        <w:right w:val="none" w:sz="0" w:space="0" w:color="auto"/>
      </w:divBdr>
    </w:div>
    <w:div w:id="202716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D7BA-F33B-4D2D-8E12-17AE705C6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837</Words>
  <Characters>4861</Characters>
  <Application>Microsoft Office Word</Application>
  <DocSecurity>0</DocSecurity>
  <Lines>40</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Veiko Kanistik</dc:creator>
  <cp:keywords/>
  <cp:lastModifiedBy>Paavo Kirsi</cp:lastModifiedBy>
  <cp:revision>9</cp:revision>
  <dcterms:created xsi:type="dcterms:W3CDTF">2026-03-25T14:20:00Z</dcterms:created>
  <dcterms:modified xsi:type="dcterms:W3CDTF">2026-04-13T08:23:00Z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2026-01-07T14:27:18Z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9c02261e-508b-4087-b5d6-b18c0e08f9cd</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